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E73F" w14:textId="50FFB11B" w:rsidR="00C77740" w:rsidRPr="00C77740" w:rsidRDefault="00C77740" w:rsidP="0566474A">
      <w:pPr>
        <w:tabs>
          <w:tab w:val="left" w:pos="2820"/>
        </w:tabs>
        <w:spacing w:after="120"/>
        <w:rPr>
          <w:rFonts w:ascii="Arial" w:hAnsi="Arial"/>
          <w:b/>
          <w:bCs/>
          <w:noProof/>
          <w:sz w:val="24"/>
          <w:szCs w:val="24"/>
          <w:highlight w:val="yellow"/>
          <w:lang w:val="en-US"/>
        </w:rPr>
      </w:pPr>
      <w:bookmarkStart w:id="0" w:name="page1"/>
      <w:r w:rsidRPr="40F23B1F">
        <w:rPr>
          <w:rFonts w:ascii="Arial" w:hAnsi="Arial"/>
          <w:b/>
          <w:bCs/>
          <w:noProof/>
          <w:sz w:val="24"/>
          <w:szCs w:val="24"/>
          <w:lang w:val="en-US"/>
        </w:rPr>
        <w:t>3GPP TSG-RAN WG4 Meeting #</w:t>
      </w:r>
      <w:r w:rsidR="006E3472" w:rsidRPr="40F23B1F">
        <w:rPr>
          <w:rFonts w:ascii="Arial" w:hAnsi="Arial"/>
          <w:b/>
          <w:bCs/>
          <w:noProof/>
          <w:sz w:val="24"/>
          <w:szCs w:val="24"/>
          <w:lang w:val="en-US"/>
        </w:rPr>
        <w:t>92</w:t>
      </w:r>
      <w:r w:rsidR="006E3472">
        <w:rPr>
          <w:rFonts w:ascii="Arial" w:hAnsi="Arial"/>
          <w:b/>
          <w:noProof/>
          <w:sz w:val="24"/>
          <w:lang w:val="en-US"/>
        </w:rPr>
        <w:tab/>
      </w:r>
      <w:r w:rsidR="006E3472">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40F23B1F">
        <w:rPr>
          <w:rFonts w:ascii="Arial" w:hAnsi="Arial"/>
          <w:b/>
          <w:bCs/>
          <w:noProof/>
          <w:sz w:val="24"/>
          <w:szCs w:val="24"/>
          <w:lang w:val="en-US"/>
        </w:rPr>
        <w:t xml:space="preserve">  </w:t>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Pr="00C77740">
        <w:rPr>
          <w:rFonts w:ascii="Arial" w:hAnsi="Arial"/>
          <w:b/>
          <w:noProof/>
          <w:sz w:val="24"/>
          <w:lang w:val="en-US"/>
        </w:rPr>
        <w:tab/>
      </w:r>
      <w:r w:rsidR="00433E39" w:rsidRPr="00433E39">
        <w:rPr>
          <w:rFonts w:ascii="Arial" w:hAnsi="Arial"/>
          <w:b/>
          <w:bCs/>
          <w:noProof/>
          <w:sz w:val="24"/>
          <w:szCs w:val="24"/>
          <w:lang w:val="en-US"/>
        </w:rPr>
        <w:t>R4-1914332</w:t>
      </w:r>
      <w:bookmarkStart w:id="1" w:name="_GoBack"/>
      <w:bookmarkEnd w:id="1"/>
    </w:p>
    <w:p w14:paraId="3B0D484F" w14:textId="4B0DD646" w:rsidR="006E3472" w:rsidRDefault="00AF7D35" w:rsidP="00C77740">
      <w:pPr>
        <w:tabs>
          <w:tab w:val="left" w:pos="2820"/>
        </w:tabs>
        <w:spacing w:after="120"/>
        <w:ind w:left="1985" w:hanging="1985"/>
        <w:rPr>
          <w:rFonts w:ascii="Arial" w:hAnsi="Arial"/>
          <w:b/>
          <w:noProof/>
          <w:sz w:val="24"/>
          <w:lang w:val="en-US"/>
        </w:rPr>
      </w:pPr>
      <w:r w:rsidRPr="00AF7D35">
        <w:rPr>
          <w:rFonts w:ascii="Arial" w:hAnsi="Arial"/>
          <w:b/>
          <w:noProof/>
          <w:sz w:val="24"/>
          <w:lang w:val="en-US"/>
        </w:rPr>
        <w:t>Reno, USA, 18th Nov. 2019 – 22nd Oct. 2019</w:t>
      </w:r>
    </w:p>
    <w:p w14:paraId="079BD22C" w14:textId="77777777" w:rsidR="000864E9" w:rsidRPr="00A51BCB" w:rsidRDefault="000864E9" w:rsidP="00C77740">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7FDAA2CB"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01A44A86"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AD407E">
        <w:rPr>
          <w:rFonts w:ascii="Arial" w:hAnsi="Arial" w:cs="Arial"/>
          <w:b/>
          <w:lang w:val="en-US"/>
        </w:rPr>
        <w:t>Baseline Spectral Emission Mask</w:t>
      </w:r>
    </w:p>
    <w:p w14:paraId="16CBA510" w14:textId="7777777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3D41E8">
        <w:rPr>
          <w:rFonts w:ascii="Arial" w:hAnsi="Arial" w:cs="Arial"/>
          <w:lang w:val="en-US"/>
        </w:rPr>
        <w:t>9</w:t>
      </w:r>
      <w:r w:rsidR="00C1161A" w:rsidRPr="002F6864">
        <w:rPr>
          <w:rFonts w:ascii="Arial" w:hAnsi="Arial" w:cs="Arial"/>
          <w:lang w:val="en-US"/>
        </w:rPr>
        <w:t>.1.</w:t>
      </w:r>
      <w:r w:rsidR="002F6864" w:rsidRPr="002F6864">
        <w:rPr>
          <w:rFonts w:ascii="Arial" w:hAnsi="Arial" w:cs="Arial"/>
          <w:lang w:val="en-US"/>
        </w:rPr>
        <w:t>1</w:t>
      </w:r>
      <w:r w:rsidR="007E4201" w:rsidRPr="002F6864">
        <w:rPr>
          <w:rFonts w:ascii="Arial" w:hAnsi="Arial" w:cs="Arial"/>
          <w:lang w:val="en-US"/>
        </w:rPr>
        <w:t>.</w:t>
      </w:r>
      <w:r w:rsidR="002F6864" w:rsidRPr="002F6864">
        <w:rPr>
          <w:rFonts w:ascii="Arial" w:hAnsi="Arial" w:cs="Arial"/>
          <w:lang w:val="en-US"/>
        </w:rPr>
        <w:t>2</w:t>
      </w:r>
      <w:r w:rsidR="002F6864">
        <w:rPr>
          <w:rFonts w:ascii="Arial" w:hAnsi="Arial" w:cs="Arial"/>
          <w:lang w:val="en-US"/>
        </w:rPr>
        <w:t xml:space="preserve"> </w:t>
      </w:r>
      <w:r w:rsidR="002F6864" w:rsidRPr="002F6864">
        <w:rPr>
          <w:rFonts w:ascii="Arial" w:hAnsi="Arial" w:cs="Arial"/>
          <w:lang w:val="en-US"/>
        </w:rPr>
        <w:t xml:space="preserve">Wideband operations (UE and BS) </w:t>
      </w:r>
      <w:r w:rsidR="002F6864">
        <w:rPr>
          <w:rFonts w:ascii="Arial" w:hAnsi="Arial" w:cs="Arial"/>
          <w:lang w:val="en-US"/>
        </w:rPr>
        <w:t>[</w:t>
      </w:r>
      <w:proofErr w:type="spellStart"/>
      <w:r w:rsidR="002F6864" w:rsidRPr="002F6864">
        <w:rPr>
          <w:rFonts w:ascii="Arial" w:hAnsi="Arial" w:cs="Arial"/>
          <w:lang w:val="en-US"/>
        </w:rPr>
        <w:t>NR_unlic</w:t>
      </w:r>
      <w:proofErr w:type="spellEnd"/>
      <w:r w:rsidR="002F6864" w:rsidRPr="002F6864">
        <w:rPr>
          <w:rFonts w:ascii="Arial" w:hAnsi="Arial" w:cs="Arial"/>
          <w:lang w:val="en-US"/>
        </w:rPr>
        <w:t>-Core</w:t>
      </w:r>
      <w:r w:rsidR="002F6864">
        <w:rPr>
          <w:rFonts w:ascii="Arial" w:hAnsi="Arial" w:cs="Arial"/>
          <w:lang w:val="en-US"/>
        </w:rPr>
        <w:t>]</w:t>
      </w:r>
    </w:p>
    <w:p w14:paraId="1D881B00"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F6864">
        <w:rPr>
          <w:rFonts w:ascii="Arial" w:hAnsi="Arial" w:cs="Arial"/>
          <w:bCs/>
          <w:lang w:val="en-US"/>
        </w:rPr>
        <w:t xml:space="preserve"> and agreement</w:t>
      </w:r>
    </w:p>
    <w:bookmarkEnd w:id="0"/>
    <w:p w14:paraId="09809938" w14:textId="77777777" w:rsidR="00AD407E" w:rsidRDefault="00AD407E" w:rsidP="00AD407E">
      <w:pPr>
        <w:pStyle w:val="Heading1"/>
        <w:numPr>
          <w:ilvl w:val="0"/>
          <w:numId w:val="19"/>
        </w:numPr>
        <w:ind w:left="851" w:hanging="851"/>
      </w:pPr>
      <w:r>
        <w:t>Introduction</w:t>
      </w:r>
    </w:p>
    <w:p w14:paraId="1712258A" w14:textId="7997B202" w:rsidR="006F4212" w:rsidRDefault="006F4212" w:rsidP="004D2643">
      <w:pPr>
        <w:jc w:val="both"/>
      </w:pPr>
      <w:r>
        <w:t>The d</w:t>
      </w:r>
      <w:r w:rsidRPr="006F4212">
        <w:t xml:space="preserve">efinition of </w:t>
      </w:r>
      <w:r>
        <w:t>spectrum emission requirements</w:t>
      </w:r>
      <w:r w:rsidRPr="006F4212">
        <w:t xml:space="preserve"> applicable for NR-U wideband operation have been discussed since the start of the work item</w:t>
      </w:r>
      <w:r>
        <w:t xml:space="preserve"> [1]. These discussions have resulted in two WF [2] and [3]</w:t>
      </w:r>
      <w:r w:rsidR="00717A4A">
        <w:t xml:space="preserve"> on the basis on multiple sessions</w:t>
      </w:r>
      <w:r w:rsidRPr="006F4212">
        <w:t>.</w:t>
      </w:r>
      <w:r w:rsidR="00717A4A">
        <w:t xml:space="preserve"> The agreements so far have been captured in the following:</w:t>
      </w:r>
      <w:r w:rsidRPr="006F4212">
        <w:t xml:space="preserve"> </w:t>
      </w:r>
    </w:p>
    <w:p w14:paraId="57262D85" w14:textId="77777777" w:rsidR="000F2A43" w:rsidRDefault="00433E39" w:rsidP="000F2A43">
      <w:pPr>
        <w:jc w:val="both"/>
      </w:pPr>
      <w:r>
        <w:rPr>
          <w:sz w:val="16"/>
        </w:rPr>
      </w:r>
      <w:r>
        <w:rPr>
          <w:sz w:val="16"/>
        </w:rPr>
        <w:pict w14:anchorId="7BE372DE">
          <v:shapetype id="_x0000_t202" coordsize="21600,21600" o:spt="202" path="m,l,21600r21600,l21600,xe">
            <v:stroke joinstyle="miter"/>
            <v:path gradientshapeok="t" o:connecttype="rect"/>
          </v:shapetype>
          <v:shape id="Text Box 2" o:spid="_x0000_s1032" type="#_x0000_t202" style="width:483.6pt;height:94.5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style="mso-next-textbox:#Text Box 2">
              <w:txbxContent>
                <w:p w14:paraId="71DB82C5" w14:textId="77777777" w:rsidR="004D2643" w:rsidRDefault="004D2643" w:rsidP="004D2643">
                  <w:pPr>
                    <w:overflowPunct/>
                    <w:autoSpaceDE/>
                    <w:autoSpaceDN/>
                    <w:adjustRightInd/>
                    <w:spacing w:after="0"/>
                    <w:ind w:left="284" w:hanging="284"/>
                    <w:textAlignment w:val="auto"/>
                  </w:pPr>
                  <w:r w:rsidRPr="00BE4CB9">
                    <w:rPr>
                      <w:highlight w:val="green"/>
                    </w:rPr>
                    <w:t>There is consensus for the following:</w:t>
                  </w:r>
                </w:p>
                <w:p w14:paraId="0D34B4D5" w14:textId="77777777" w:rsidR="004D2643" w:rsidRPr="004D2643" w:rsidRDefault="004D2643" w:rsidP="004D2643">
                  <w:pPr>
                    <w:pStyle w:val="ListParagraph"/>
                    <w:numPr>
                      <w:ilvl w:val="0"/>
                      <w:numId w:val="46"/>
                    </w:numPr>
                    <w:overflowPunct/>
                    <w:autoSpaceDE/>
                    <w:autoSpaceDN/>
                    <w:adjustRightInd/>
                    <w:spacing w:after="0"/>
                    <w:textAlignment w:val="auto"/>
                    <w:rPr>
                      <w:i/>
                      <w:lang w:val="en-CA"/>
                    </w:rPr>
                  </w:pPr>
                  <w:r w:rsidRPr="004D2643">
                    <w:rPr>
                      <w:i/>
                      <w:lang w:val="en-CA"/>
                    </w:rPr>
                    <w:t xml:space="preserve">Regional requirements will be addressed by using NS approach </w:t>
                  </w:r>
                </w:p>
                <w:p w14:paraId="3A0A0D32" w14:textId="77777777" w:rsidR="004D2643" w:rsidRPr="004D2643" w:rsidRDefault="004D2643" w:rsidP="004D2643">
                  <w:pPr>
                    <w:pStyle w:val="ListParagraph"/>
                    <w:overflowPunct/>
                    <w:autoSpaceDE/>
                    <w:autoSpaceDN/>
                    <w:adjustRightInd/>
                    <w:spacing w:after="0"/>
                    <w:textAlignment w:val="auto"/>
                    <w:rPr>
                      <w:i/>
                      <w:lang w:val="en-CA"/>
                    </w:rPr>
                  </w:pPr>
                  <w:r>
                    <w:rPr>
                      <w:i/>
                      <w:lang w:val="en-CA"/>
                    </w:rPr>
                    <w:t xml:space="preserve">- </w:t>
                  </w:r>
                  <w:r w:rsidRPr="004D2643">
                    <w:rPr>
                      <w:i/>
                      <w:lang w:val="en-CA"/>
                    </w:rPr>
                    <w:t>Companies will further discuss the generic requirements as baseline mask</w:t>
                  </w:r>
                </w:p>
                <w:p w14:paraId="2EA90B63" w14:textId="77777777" w:rsidR="004D2643" w:rsidRPr="004D2643" w:rsidRDefault="004D2643" w:rsidP="004D2643">
                  <w:pPr>
                    <w:pStyle w:val="ListParagraph"/>
                    <w:overflowPunct/>
                    <w:autoSpaceDE/>
                    <w:autoSpaceDN/>
                    <w:adjustRightInd/>
                    <w:spacing w:after="0"/>
                    <w:textAlignment w:val="auto"/>
                    <w:rPr>
                      <w:i/>
                      <w:lang w:val="en-CA"/>
                    </w:rPr>
                  </w:pPr>
                  <w:r w:rsidRPr="004D2643">
                    <w:rPr>
                      <w:i/>
                      <w:lang w:val="en-CA"/>
                    </w:rPr>
                    <w:tab/>
                  </w:r>
                  <w:r w:rsidRPr="004D2643">
                    <w:rPr>
                      <w:i/>
                      <w:lang w:val="en-CA"/>
                    </w:rPr>
                    <w:tab/>
                    <w:t>- Option 1: NR requirements</w:t>
                  </w:r>
                </w:p>
                <w:p w14:paraId="26268EBD" w14:textId="77777777" w:rsidR="004D2643" w:rsidRPr="004D2643" w:rsidRDefault="004D2643" w:rsidP="004D2643">
                  <w:pPr>
                    <w:pStyle w:val="ListParagraph"/>
                    <w:overflowPunct/>
                    <w:autoSpaceDE/>
                    <w:autoSpaceDN/>
                    <w:adjustRightInd/>
                    <w:spacing w:after="0"/>
                    <w:textAlignment w:val="auto"/>
                    <w:rPr>
                      <w:i/>
                      <w:lang w:val="en-CA"/>
                    </w:rPr>
                  </w:pPr>
                  <w:r w:rsidRPr="004D2643">
                    <w:rPr>
                      <w:i/>
                      <w:lang w:val="en-CA"/>
                    </w:rPr>
                    <w:tab/>
                  </w:r>
                  <w:r w:rsidRPr="004D2643">
                    <w:rPr>
                      <w:i/>
                      <w:lang w:val="en-CA"/>
                    </w:rPr>
                    <w:tab/>
                    <w:t>- Option 2: Modified ETSI mask</w:t>
                  </w:r>
                </w:p>
                <w:p w14:paraId="303E9DDC" w14:textId="77777777" w:rsidR="004D2643" w:rsidRPr="00F71A21" w:rsidRDefault="004D2643" w:rsidP="004D2643">
                  <w:pPr>
                    <w:pStyle w:val="ListParagraph"/>
                    <w:overflowPunct/>
                    <w:autoSpaceDE/>
                    <w:autoSpaceDN/>
                    <w:adjustRightInd/>
                    <w:spacing w:after="0"/>
                    <w:contextualSpacing w:val="0"/>
                    <w:textAlignment w:val="auto"/>
                    <w:rPr>
                      <w:i/>
                      <w:lang w:val="en-US"/>
                    </w:rPr>
                  </w:pPr>
                  <w:r>
                    <w:rPr>
                      <w:i/>
                      <w:lang w:val="en-CA"/>
                    </w:rPr>
                    <w:t xml:space="preserve">- </w:t>
                  </w:r>
                  <w:r w:rsidRPr="004D2643">
                    <w:rPr>
                      <w:i/>
                      <w:lang w:val="en-CA"/>
                    </w:rPr>
                    <w:t xml:space="preserve">NS specific requirements will be also discussed based on regional regulatory requirements after baseline </w:t>
                  </w:r>
                  <w:r>
                    <w:rPr>
                      <w:i/>
                      <w:lang w:val="en-CA"/>
                    </w:rPr>
                    <w:tab/>
                  </w:r>
                  <w:r w:rsidRPr="004D2643">
                    <w:rPr>
                      <w:i/>
                      <w:lang w:val="en-CA"/>
                    </w:rPr>
                    <w:t>requirements (mask) is agreed.</w:t>
                  </w:r>
                </w:p>
              </w:txbxContent>
            </v:textbox>
            <w10:anchorlock/>
          </v:shape>
        </w:pict>
      </w:r>
    </w:p>
    <w:p w14:paraId="6EAD3EC9" w14:textId="2F15840B" w:rsidR="000F2A43" w:rsidRDefault="000F2A43" w:rsidP="000F2A43">
      <w:pPr>
        <w:jc w:val="both"/>
      </w:pPr>
      <w:r>
        <w:t>Different proposals for a spectral emission mask have been presented in the previous meeting with number these proposals trying to align with the ETSI BRAN harmonized standard for 5 GHz (Option 2). It has however been a discussion point on how to interpret the application of the mask in the regions where some of the LBT sub-bands fails CCA. Also, the widening of the first -20dBr intercept point as a function of the channel bandwidth has been questioned. Multiple of these interpretations and proposed compromises has been presented in [2]</w:t>
      </w:r>
      <w:r w:rsidR="007733F6">
        <w:t xml:space="preserve"> and [4]</w:t>
      </w:r>
      <w:r>
        <w:t>.</w:t>
      </w:r>
    </w:p>
    <w:p w14:paraId="677768D2" w14:textId="14E68E9A" w:rsidR="001B548A" w:rsidRDefault="001B548A" w:rsidP="000F2A43">
      <w:pPr>
        <w:jc w:val="both"/>
      </w:pPr>
      <w:r>
        <w:t>In parallel to the discussions in RAN4 discussions are ongoing in ETSI TC BRAN in relation to the harmonized standard for 5GHz (</w:t>
      </w:r>
      <w:r w:rsidRPr="00BB725C">
        <w:rPr>
          <w:lang w:val="en-US"/>
        </w:rPr>
        <w:t>ETSI EN 301 893</w:t>
      </w:r>
      <w:r>
        <w:t xml:space="preserve">) initiated by a LS send from RAN4 [5]. </w:t>
      </w:r>
    </w:p>
    <w:p w14:paraId="074EAA19" w14:textId="6BF9551A" w:rsidR="000F2A43" w:rsidRDefault="000F2A43" w:rsidP="000F2A43">
      <w:pPr>
        <w:jc w:val="both"/>
      </w:pPr>
      <w:r>
        <w:t xml:space="preserve">The proposal in this paper presents </w:t>
      </w:r>
      <w:r w:rsidR="001B548A">
        <w:t>what is now being used as baseline for the parallel discussions in ETSI TC BRAN</w:t>
      </w:r>
      <w:r>
        <w:t xml:space="preserve">. </w:t>
      </w:r>
    </w:p>
    <w:p w14:paraId="6FE024F8" w14:textId="77777777" w:rsidR="00AD407E" w:rsidRDefault="00AD407E" w:rsidP="00AD407E">
      <w:pPr>
        <w:pStyle w:val="Heading1"/>
        <w:numPr>
          <w:ilvl w:val="0"/>
          <w:numId w:val="19"/>
        </w:numPr>
        <w:ind w:left="851" w:hanging="851"/>
      </w:pPr>
      <w:r>
        <w:t>Discussion</w:t>
      </w:r>
    </w:p>
    <w:p w14:paraId="62844924" w14:textId="6AF00D67" w:rsidR="007C1BF9" w:rsidRDefault="001B548A" w:rsidP="001B548A">
      <w:pPr>
        <w:tabs>
          <w:tab w:val="left" w:pos="1695"/>
        </w:tabs>
        <w:jc w:val="both"/>
      </w:pPr>
      <w:r>
        <w:t xml:space="preserve">The baseline for the discussions within ETSI TC BRAN is that the </w:t>
      </w:r>
      <w:bookmarkStart w:id="2" w:name="_Hlk20312604"/>
      <w:r>
        <w:t>t</w:t>
      </w:r>
      <w:r w:rsidRPr="001B548A">
        <w:t xml:space="preserve">ransmit spectral power mask </w:t>
      </w:r>
      <w:r w:rsidR="007C1BF9">
        <w:t xml:space="preserve">is given as </w:t>
      </w:r>
      <w:r>
        <w:t>a</w:t>
      </w:r>
      <w:r w:rsidR="007C1BF9">
        <w:t xml:space="preserve"> combination of:</w:t>
      </w:r>
    </w:p>
    <w:p w14:paraId="07F6C844" w14:textId="77777777" w:rsidR="007C1BF9" w:rsidRDefault="007C1BF9" w:rsidP="007C1BF9">
      <w:pPr>
        <w:pStyle w:val="ListParagraph"/>
        <w:numPr>
          <w:ilvl w:val="0"/>
          <w:numId w:val="48"/>
        </w:numPr>
        <w:spacing w:after="0"/>
        <w:jc w:val="both"/>
        <w:rPr>
          <w:lang w:eastAsia="x-none"/>
        </w:rPr>
      </w:pPr>
      <w:r>
        <w:t>Carrier spectral emission mask</w:t>
      </w:r>
    </w:p>
    <w:p w14:paraId="216D988B" w14:textId="77777777" w:rsidR="007C1BF9" w:rsidRDefault="007C1BF9" w:rsidP="007C1BF9">
      <w:pPr>
        <w:pStyle w:val="ListParagraph"/>
        <w:numPr>
          <w:ilvl w:val="0"/>
          <w:numId w:val="48"/>
        </w:numPr>
        <w:spacing w:after="0" w:line="360" w:lineRule="auto"/>
        <w:jc w:val="both"/>
        <w:rPr>
          <w:lang w:eastAsia="x-none"/>
        </w:rPr>
      </w:pPr>
      <w:r>
        <w:t>In-carrier spectral emission mask.</w:t>
      </w:r>
    </w:p>
    <w:p w14:paraId="0481DD0C" w14:textId="77777777" w:rsidR="007C1BF9" w:rsidRDefault="007C1BF9" w:rsidP="007C1BF9">
      <w:pPr>
        <w:ind w:left="54"/>
        <w:jc w:val="both"/>
      </w:pPr>
      <w:r>
        <w:rPr>
          <w:lang w:eastAsia="x-none"/>
        </w:rPr>
        <w:t xml:space="preserve">The first for application to the overall carrier and the latter for application where </w:t>
      </w:r>
      <w:r>
        <w:t xml:space="preserve">some of the </w:t>
      </w:r>
      <w:r w:rsidRPr="00D55ADE">
        <w:t>sub-</w:t>
      </w:r>
      <w:r>
        <w:t>channels</w:t>
      </w:r>
      <w:r w:rsidRPr="001B0522">
        <w:t xml:space="preserve"> </w:t>
      </w:r>
      <w:r>
        <w:t xml:space="preserve">in a </w:t>
      </w:r>
      <w:r w:rsidRPr="001B0522">
        <w:t>multi-channel configuration</w:t>
      </w:r>
      <w:r>
        <w:t xml:space="preserve"> fails LBT and therefor becomes </w:t>
      </w:r>
      <w:r>
        <w:rPr>
          <w:noProof/>
          <w:lang w:eastAsia="zh-CN"/>
        </w:rPr>
        <w:t xml:space="preserve">unavailable (pounctured). </w:t>
      </w:r>
    </w:p>
    <w:p w14:paraId="64EE99F4" w14:textId="77777777" w:rsidR="007C1BF9" w:rsidRPr="00511A8E" w:rsidRDefault="007C1BF9" w:rsidP="007C1BF9">
      <w:pPr>
        <w:spacing w:line="360" w:lineRule="auto"/>
        <w:ind w:left="54"/>
        <w:jc w:val="both"/>
        <w:rPr>
          <w:b/>
          <w:u w:val="single"/>
          <w:lang w:eastAsia="x-none"/>
        </w:rPr>
      </w:pPr>
      <w:r w:rsidRPr="00511A8E">
        <w:rPr>
          <w:b/>
          <w:u w:val="single"/>
          <w:lang w:eastAsia="x-none"/>
        </w:rPr>
        <w:t>Carrier spectra</w:t>
      </w:r>
      <w:r>
        <w:rPr>
          <w:b/>
          <w:u w:val="single"/>
          <w:lang w:eastAsia="x-none"/>
        </w:rPr>
        <w:t>l</w:t>
      </w:r>
      <w:r w:rsidRPr="00511A8E">
        <w:rPr>
          <w:b/>
          <w:u w:val="single"/>
          <w:lang w:eastAsia="x-none"/>
        </w:rPr>
        <w:t xml:space="preserve"> emission mask</w:t>
      </w:r>
      <w:r>
        <w:rPr>
          <w:b/>
          <w:u w:val="single"/>
          <w:lang w:eastAsia="x-none"/>
        </w:rPr>
        <w:t>:</w:t>
      </w:r>
      <w:r w:rsidRPr="00511A8E">
        <w:rPr>
          <w:b/>
          <w:u w:val="single"/>
          <w:lang w:eastAsia="x-none"/>
        </w:rPr>
        <w:t xml:space="preserve"> </w:t>
      </w:r>
    </w:p>
    <w:p w14:paraId="4749922B" w14:textId="77777777" w:rsidR="00B27CD5" w:rsidRDefault="007C1BF9" w:rsidP="007C1BF9">
      <w:pPr>
        <w:ind w:left="54"/>
        <w:jc w:val="both"/>
        <w:rPr>
          <w:bCs/>
        </w:rPr>
      </w:pPr>
      <w:r>
        <w:t>Figure 1 presents the carrier</w:t>
      </w:r>
      <w:r w:rsidRPr="00770F61">
        <w:rPr>
          <w:bCs/>
        </w:rPr>
        <w:t xml:space="preserve"> spectral power mask </w:t>
      </w:r>
      <w:r>
        <w:rPr>
          <w:bCs/>
        </w:rPr>
        <w:t xml:space="preserve">which have been updated at the -20 dBr intercept point to have a fixed frequency offset of +/- 1 MHz to the band edge. </w:t>
      </w:r>
    </w:p>
    <w:p w14:paraId="0485D06A" w14:textId="77777777" w:rsidR="00B27CD5" w:rsidRDefault="007C1BF9" w:rsidP="007C1BF9">
      <w:pPr>
        <w:ind w:left="54"/>
        <w:jc w:val="both"/>
        <w:rPr>
          <w:bCs/>
        </w:rPr>
      </w:pPr>
      <w:r>
        <w:rPr>
          <w:bCs/>
        </w:rPr>
        <w:t xml:space="preserve">Note that it is for further study (FFS) if the fixed frequency offset of +/- 1 MHz to the band edge are applicable to channel bandwidths larger than 100 </w:t>
      </w:r>
      <w:proofErr w:type="spellStart"/>
      <w:r>
        <w:rPr>
          <w:bCs/>
        </w:rPr>
        <w:t>MHz.</w:t>
      </w:r>
      <w:proofErr w:type="spellEnd"/>
      <w:r>
        <w:rPr>
          <w:bCs/>
        </w:rPr>
        <w:t xml:space="preserve"> </w:t>
      </w:r>
    </w:p>
    <w:p w14:paraId="30951223" w14:textId="6C794CD7" w:rsidR="007C1BF9" w:rsidRDefault="007C1BF9" w:rsidP="007C1BF9">
      <w:pPr>
        <w:ind w:left="54"/>
        <w:jc w:val="both"/>
        <w:rPr>
          <w:bCs/>
        </w:rPr>
      </w:pPr>
      <w:r>
        <w:rPr>
          <w:bCs/>
        </w:rPr>
        <w:t xml:space="preserve">Further, it is also FFS if the emission within this 1 MHz offset are to be measured with a resolution bandwidth (RBW) of 1 MHz or 100kHz. </w:t>
      </w:r>
    </w:p>
    <w:p w14:paraId="3C49537E" w14:textId="280AB940" w:rsidR="007C1BF9" w:rsidRDefault="00433E39" w:rsidP="007C1BF9">
      <w:pPr>
        <w:jc w:val="center"/>
      </w:pPr>
      <w:r>
        <w:rPr>
          <w:noProof/>
        </w:rPr>
        <w:lastRenderedPageBreak/>
        <w:pict w14:anchorId="225EC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6" type="#_x0000_t75" style="width:477pt;height:252.75pt;visibility:visible;mso-wrap-style:square">
            <v:imagedata r:id="rId13" o:title=""/>
          </v:shape>
        </w:pict>
      </w:r>
    </w:p>
    <w:p w14:paraId="6414D9FE" w14:textId="77777777" w:rsidR="007C1BF9" w:rsidRDefault="007C1BF9" w:rsidP="007C1BF9">
      <w:pPr>
        <w:pStyle w:val="Caption"/>
        <w:jc w:val="center"/>
      </w:pPr>
      <w:r w:rsidRPr="00BA5622">
        <w:t xml:space="preserve">Figure </w:t>
      </w:r>
      <w:r>
        <w:fldChar w:fldCharType="begin"/>
      </w:r>
      <w:r>
        <w:instrText xml:space="preserve"> SEQ Figure \* ARABIC </w:instrText>
      </w:r>
      <w:r>
        <w:fldChar w:fldCharType="separate"/>
      </w:r>
      <w:r>
        <w:rPr>
          <w:noProof/>
        </w:rPr>
        <w:t>1</w:t>
      </w:r>
      <w:r>
        <w:rPr>
          <w:noProof/>
        </w:rPr>
        <w:fldChar w:fldCharType="end"/>
      </w:r>
      <w:r w:rsidRPr="00BA5622">
        <w:t xml:space="preserve">  </w:t>
      </w:r>
      <w:r>
        <w:t>Carrier spectral emission mask</w:t>
      </w:r>
      <w:r>
        <w:tab/>
      </w:r>
    </w:p>
    <w:p w14:paraId="7009D1B7" w14:textId="77777777" w:rsidR="007C1BF9" w:rsidRDefault="007C1BF9" w:rsidP="007C1BF9">
      <w:pPr>
        <w:ind w:left="54"/>
        <w:jc w:val="both"/>
        <w:rPr>
          <w:bCs/>
        </w:rPr>
      </w:pPr>
      <w:r>
        <w:rPr>
          <w:bCs/>
        </w:rPr>
        <w:t xml:space="preserve">The carrier emission mask is to be applied for the entire initial transmission bandwidth.   </w:t>
      </w:r>
    </w:p>
    <w:p w14:paraId="1C6DBC84" w14:textId="77777777" w:rsidR="007C1BF9" w:rsidRPr="00511A8E" w:rsidRDefault="007C1BF9" w:rsidP="007C1BF9">
      <w:pPr>
        <w:spacing w:line="360" w:lineRule="auto"/>
        <w:ind w:left="54"/>
        <w:jc w:val="both"/>
        <w:rPr>
          <w:b/>
          <w:u w:val="single"/>
          <w:lang w:eastAsia="x-none"/>
        </w:rPr>
      </w:pPr>
      <w:r>
        <w:rPr>
          <w:b/>
          <w:u w:val="single"/>
          <w:lang w:eastAsia="x-none"/>
        </w:rPr>
        <w:t>In-c</w:t>
      </w:r>
      <w:r w:rsidRPr="00511A8E">
        <w:rPr>
          <w:b/>
          <w:u w:val="single"/>
          <w:lang w:eastAsia="x-none"/>
        </w:rPr>
        <w:t>arrier spectra emission mask</w:t>
      </w:r>
      <w:r>
        <w:rPr>
          <w:b/>
          <w:u w:val="single"/>
          <w:lang w:eastAsia="x-none"/>
        </w:rPr>
        <w:t>:</w:t>
      </w:r>
      <w:r w:rsidRPr="00511A8E">
        <w:rPr>
          <w:b/>
          <w:u w:val="single"/>
          <w:lang w:eastAsia="x-none"/>
        </w:rPr>
        <w:t xml:space="preserve"> </w:t>
      </w:r>
    </w:p>
    <w:p w14:paraId="38E5DDFC" w14:textId="77777777" w:rsidR="007C1BF9" w:rsidRDefault="007C1BF9" w:rsidP="007C1BF9">
      <w:pPr>
        <w:ind w:left="54"/>
        <w:jc w:val="both"/>
        <w:rPr>
          <w:lang w:eastAsia="x-none"/>
        </w:rPr>
      </w:pPr>
      <w:r>
        <w:rPr>
          <w:lang w:eastAsia="x-none"/>
        </w:rPr>
        <w:t xml:space="preserve">Figure 2 shows the </w:t>
      </w:r>
      <w:r>
        <w:t>in-carrier spectral emission mask</w:t>
      </w:r>
      <w:r>
        <w:rPr>
          <w:lang w:eastAsia="x-none"/>
        </w:rPr>
        <w:t xml:space="preserve"> which is needed when some of the </w:t>
      </w:r>
      <w:r w:rsidRPr="00D55ADE">
        <w:t>sub-</w:t>
      </w:r>
      <w:r>
        <w:t>channels</w:t>
      </w:r>
      <w:r w:rsidRPr="001B0522">
        <w:t xml:space="preserve"> </w:t>
      </w:r>
      <w:r>
        <w:t xml:space="preserve">in a </w:t>
      </w:r>
      <w:r w:rsidRPr="001B0522">
        <w:t xml:space="preserve">multi-channel </w:t>
      </w:r>
      <w:r>
        <w:t xml:space="preserve">configuration becomes </w:t>
      </w:r>
      <w:r>
        <w:rPr>
          <w:noProof/>
          <w:lang w:eastAsia="zh-CN"/>
        </w:rPr>
        <w:t xml:space="preserve">unavailable. </w:t>
      </w:r>
      <w:r>
        <w:rPr>
          <w:lang w:eastAsia="x-none"/>
        </w:rPr>
        <w:t xml:space="preserve">Each of these sub-channels are of 20 MHz and is included when the channel bandwidth is larger than 20 </w:t>
      </w:r>
      <w:proofErr w:type="spellStart"/>
      <w:r>
        <w:rPr>
          <w:lang w:eastAsia="x-none"/>
        </w:rPr>
        <w:t>MHz.</w:t>
      </w:r>
      <w:proofErr w:type="spellEnd"/>
      <w:r>
        <w:rPr>
          <w:lang w:eastAsia="x-none"/>
        </w:rPr>
        <w:t xml:space="preserve"> Table 1 explains the interception points given in Figure 2 when the </w:t>
      </w:r>
      <w:r w:rsidRPr="00C46598">
        <w:rPr>
          <w:lang w:eastAsia="x-none"/>
        </w:rPr>
        <w:t xml:space="preserve"> </w:t>
      </w:r>
      <w:r>
        <w:rPr>
          <w:noProof/>
          <w:lang w:eastAsia="zh-CN"/>
        </w:rPr>
        <w:t xml:space="preserve">unavailable channels are placed </w:t>
      </w:r>
      <w:r>
        <w:rPr>
          <w:lang w:eastAsia="x-none"/>
        </w:rPr>
        <w:t>either within available sub-channels or at the left or right edge of the wideband carrier.</w:t>
      </w:r>
    </w:p>
    <w:p w14:paraId="6581D1B4" w14:textId="6E2DD2B5" w:rsidR="007C1BF9" w:rsidRDefault="00433E39" w:rsidP="007C1BF9">
      <w:pPr>
        <w:keepNext/>
        <w:jc w:val="center"/>
        <w:rPr>
          <w:noProof/>
        </w:rPr>
      </w:pPr>
      <w:r>
        <w:rPr>
          <w:noProof/>
        </w:rPr>
        <w:pict w14:anchorId="751628F2">
          <v:shape id="Picture 4" o:spid="_x0000_i1027" type="#_x0000_t75" style="width:357pt;height:135pt;visibility:visible;mso-wrap-style:square">
            <v:imagedata r:id="rId14" o:title=""/>
          </v:shape>
        </w:pict>
      </w:r>
    </w:p>
    <w:p w14:paraId="4056D955" w14:textId="77777777" w:rsidR="007C1BF9" w:rsidRDefault="007C1BF9" w:rsidP="007C1BF9">
      <w:pPr>
        <w:pStyle w:val="Caption"/>
        <w:jc w:val="center"/>
      </w:pPr>
      <w:r w:rsidRPr="00436221">
        <w:t xml:space="preserve"> </w:t>
      </w:r>
      <w:r>
        <w:t xml:space="preserve">Figure </w:t>
      </w:r>
      <w:r>
        <w:rPr>
          <w:noProof/>
        </w:rPr>
        <w:t>2</w:t>
      </w:r>
      <w:r w:rsidRPr="00D20D83">
        <w:t xml:space="preserve"> </w:t>
      </w:r>
      <w:r>
        <w:t>I</w:t>
      </w:r>
      <w:r w:rsidRPr="00C171F1">
        <w:t xml:space="preserve">n-carrier </w:t>
      </w:r>
      <w:r>
        <w:t>spectral emission mask</w:t>
      </w:r>
    </w:p>
    <w:p w14:paraId="47069B92" w14:textId="77777777" w:rsidR="007C1BF9" w:rsidRPr="003C6AB3" w:rsidRDefault="007C1BF9" w:rsidP="007C1BF9">
      <w:pPr>
        <w:pStyle w:val="TH"/>
        <w:rPr>
          <w:rFonts w:ascii="Times New Roman" w:hAnsi="Times New Roman"/>
          <w:u w:val="single"/>
        </w:rPr>
      </w:pPr>
      <w:r w:rsidRPr="003C6AB3">
        <w:rPr>
          <w:rFonts w:ascii="Times New Roman" w:hAnsi="Times New Roman"/>
        </w:rPr>
        <w:t xml:space="preserve">Table </w:t>
      </w:r>
      <w:r>
        <w:rPr>
          <w:rFonts w:ascii="Times New Roman" w:hAnsi="Times New Roman"/>
        </w:rPr>
        <w:t>1</w:t>
      </w:r>
      <w:r w:rsidRPr="003C6AB3">
        <w:rPr>
          <w:rFonts w:ascii="Times New Roman" w:hAnsi="Times New Roman"/>
        </w:rPr>
        <w:t xml:space="preserve">: </w:t>
      </w:r>
      <w:r>
        <w:rPr>
          <w:rFonts w:ascii="Times New Roman" w:hAnsi="Times New Roman"/>
        </w:rPr>
        <w:t>Definition of interception points in Figure 2</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1155"/>
        <w:gridCol w:w="1155"/>
        <w:gridCol w:w="1247"/>
        <w:gridCol w:w="1247"/>
        <w:gridCol w:w="1155"/>
        <w:gridCol w:w="1175"/>
      </w:tblGrid>
      <w:tr w:rsidR="007C1BF9" w14:paraId="2BF9DE51" w14:textId="77777777" w:rsidTr="00D35E90">
        <w:trPr>
          <w:trHeight w:val="283"/>
          <w:jc w:val="center"/>
        </w:trPr>
        <w:tc>
          <w:tcPr>
            <w:tcW w:w="2502" w:type="dxa"/>
            <w:shd w:val="clear" w:color="auto" w:fill="auto"/>
            <w:vAlign w:val="center"/>
          </w:tcPr>
          <w:p w14:paraId="638B08AD" w14:textId="77777777" w:rsidR="007C1BF9" w:rsidRPr="00565249" w:rsidRDefault="007C1BF9" w:rsidP="00D35E90">
            <w:pPr>
              <w:jc w:val="center"/>
              <w:rPr>
                <w:rFonts w:ascii="Arial" w:hAnsi="Arial" w:cs="Arial"/>
                <w:b/>
                <w:sz w:val="18"/>
                <w:szCs w:val="18"/>
              </w:rPr>
            </w:pPr>
            <w:r w:rsidRPr="00565249">
              <w:rPr>
                <w:rFonts w:ascii="Arial" w:hAnsi="Arial" w:cs="Arial"/>
                <w:sz w:val="18"/>
                <w:szCs w:val="18"/>
              </w:rPr>
              <w:t xml:space="preserve"> </w:t>
            </w:r>
            <w:r w:rsidRPr="00565249">
              <w:rPr>
                <w:rFonts w:ascii="Arial" w:hAnsi="Arial" w:cs="Arial"/>
                <w:b/>
                <w:sz w:val="18"/>
                <w:szCs w:val="18"/>
              </w:rPr>
              <w:t>Placement of unavailable sub-channels</w:t>
            </w:r>
          </w:p>
        </w:tc>
        <w:tc>
          <w:tcPr>
            <w:tcW w:w="1155" w:type="dxa"/>
            <w:shd w:val="clear" w:color="auto" w:fill="auto"/>
            <w:vAlign w:val="center"/>
          </w:tcPr>
          <w:p w14:paraId="67D8D07A" w14:textId="77777777" w:rsidR="007C1BF9" w:rsidRDefault="007C1BF9" w:rsidP="00D35E90">
            <w:pPr>
              <w:spacing w:line="276" w:lineRule="auto"/>
              <w:jc w:val="center"/>
              <w:rPr>
                <w:rFonts w:ascii="Arial" w:hAnsi="Arial" w:cs="Arial"/>
                <w:b/>
                <w:sz w:val="18"/>
              </w:rPr>
            </w:pPr>
            <w:r>
              <w:rPr>
                <w:rFonts w:ascii="Arial" w:hAnsi="Arial" w:cs="Arial"/>
                <w:b/>
                <w:sz w:val="18"/>
              </w:rPr>
              <w:t>A</w:t>
            </w:r>
          </w:p>
          <w:p w14:paraId="03C2CD4A" w14:textId="77777777" w:rsidR="007C1BF9" w:rsidRPr="003C6AB3" w:rsidRDefault="007C1BF9" w:rsidP="00D35E90">
            <w:pPr>
              <w:spacing w:line="276" w:lineRule="auto"/>
              <w:jc w:val="center"/>
              <w:rPr>
                <w:rFonts w:ascii="Arial" w:hAnsi="Arial" w:cs="Arial"/>
                <w:sz w:val="16"/>
                <w:szCs w:val="16"/>
              </w:rPr>
            </w:pPr>
            <w:r w:rsidRPr="003C6AB3">
              <w:rPr>
                <w:rFonts w:ascii="Arial" w:hAnsi="Arial" w:cs="Arial"/>
                <w:sz w:val="16"/>
                <w:szCs w:val="16"/>
              </w:rPr>
              <w:t>[MHz]</w:t>
            </w:r>
          </w:p>
        </w:tc>
        <w:tc>
          <w:tcPr>
            <w:tcW w:w="1155" w:type="dxa"/>
            <w:shd w:val="clear" w:color="auto" w:fill="auto"/>
            <w:vAlign w:val="center"/>
          </w:tcPr>
          <w:p w14:paraId="634A31C0" w14:textId="77777777" w:rsidR="007C1BF9" w:rsidRDefault="007C1BF9" w:rsidP="00D35E90">
            <w:pPr>
              <w:spacing w:line="276" w:lineRule="auto"/>
              <w:jc w:val="center"/>
              <w:rPr>
                <w:rFonts w:ascii="Arial" w:hAnsi="Arial" w:cs="Arial"/>
                <w:b/>
                <w:sz w:val="18"/>
              </w:rPr>
            </w:pPr>
            <w:r>
              <w:rPr>
                <w:rFonts w:ascii="Arial" w:hAnsi="Arial" w:cs="Arial"/>
                <w:b/>
                <w:sz w:val="18"/>
              </w:rPr>
              <w:t>B</w:t>
            </w:r>
          </w:p>
          <w:p w14:paraId="3063707D" w14:textId="77777777" w:rsidR="007C1BF9" w:rsidRPr="003C6AB3" w:rsidRDefault="007C1BF9" w:rsidP="00D35E90">
            <w:pPr>
              <w:spacing w:line="276" w:lineRule="auto"/>
              <w:jc w:val="center"/>
              <w:rPr>
                <w:rFonts w:ascii="Arial" w:hAnsi="Arial" w:cs="Arial"/>
                <w:b/>
                <w:sz w:val="16"/>
                <w:szCs w:val="16"/>
              </w:rPr>
            </w:pPr>
            <w:r w:rsidRPr="003C6AB3">
              <w:rPr>
                <w:rFonts w:ascii="Arial" w:hAnsi="Arial" w:cs="Arial"/>
                <w:sz w:val="16"/>
                <w:szCs w:val="16"/>
              </w:rPr>
              <w:t>[MHz]</w:t>
            </w:r>
          </w:p>
        </w:tc>
        <w:tc>
          <w:tcPr>
            <w:tcW w:w="1247" w:type="dxa"/>
            <w:shd w:val="clear" w:color="auto" w:fill="auto"/>
            <w:vAlign w:val="center"/>
          </w:tcPr>
          <w:p w14:paraId="71DF27CD" w14:textId="77777777" w:rsidR="007C1BF9" w:rsidRDefault="007C1BF9" w:rsidP="00D35E90">
            <w:pPr>
              <w:spacing w:line="276" w:lineRule="auto"/>
              <w:jc w:val="center"/>
              <w:rPr>
                <w:rFonts w:ascii="Arial" w:hAnsi="Arial" w:cs="Arial"/>
                <w:b/>
                <w:sz w:val="18"/>
              </w:rPr>
            </w:pPr>
            <w:r>
              <w:rPr>
                <w:rFonts w:ascii="Arial" w:hAnsi="Arial" w:cs="Arial"/>
                <w:b/>
                <w:sz w:val="18"/>
              </w:rPr>
              <w:t>C</w:t>
            </w:r>
          </w:p>
          <w:p w14:paraId="1906CCC0" w14:textId="77777777" w:rsidR="007C1BF9" w:rsidRPr="003C6AB3" w:rsidRDefault="007C1BF9" w:rsidP="00D35E90">
            <w:pPr>
              <w:spacing w:line="276" w:lineRule="auto"/>
              <w:jc w:val="center"/>
              <w:rPr>
                <w:rFonts w:ascii="Arial" w:hAnsi="Arial" w:cs="Arial"/>
                <w:b/>
                <w:sz w:val="16"/>
                <w:szCs w:val="16"/>
              </w:rPr>
            </w:pPr>
            <w:r w:rsidRPr="003C6AB3">
              <w:rPr>
                <w:rFonts w:ascii="Arial" w:hAnsi="Arial" w:cs="Arial"/>
                <w:sz w:val="16"/>
                <w:szCs w:val="16"/>
              </w:rPr>
              <w:t>[MHz]</w:t>
            </w:r>
          </w:p>
        </w:tc>
        <w:tc>
          <w:tcPr>
            <w:tcW w:w="1247" w:type="dxa"/>
          </w:tcPr>
          <w:p w14:paraId="34E99D2B" w14:textId="77777777" w:rsidR="007C1BF9" w:rsidRDefault="007C1BF9" w:rsidP="00D35E90">
            <w:pPr>
              <w:spacing w:line="276" w:lineRule="auto"/>
              <w:jc w:val="center"/>
              <w:rPr>
                <w:rFonts w:ascii="Arial" w:hAnsi="Arial" w:cs="Arial"/>
                <w:b/>
                <w:sz w:val="18"/>
              </w:rPr>
            </w:pPr>
            <w:r>
              <w:rPr>
                <w:rFonts w:ascii="Arial" w:hAnsi="Arial" w:cs="Arial"/>
                <w:b/>
                <w:sz w:val="18"/>
              </w:rPr>
              <w:t>D</w:t>
            </w:r>
          </w:p>
          <w:p w14:paraId="013F560A" w14:textId="77777777" w:rsidR="007C1BF9" w:rsidRDefault="007C1BF9" w:rsidP="00D35E90">
            <w:pPr>
              <w:spacing w:line="276" w:lineRule="auto"/>
              <w:jc w:val="center"/>
              <w:rPr>
                <w:rFonts w:ascii="Arial" w:hAnsi="Arial" w:cs="Arial"/>
                <w:b/>
                <w:sz w:val="18"/>
              </w:rPr>
            </w:pPr>
            <w:r w:rsidRPr="003C6AB3">
              <w:rPr>
                <w:rFonts w:ascii="Arial" w:hAnsi="Arial" w:cs="Arial"/>
                <w:sz w:val="16"/>
              </w:rPr>
              <w:t>[MHz]</w:t>
            </w:r>
          </w:p>
        </w:tc>
        <w:tc>
          <w:tcPr>
            <w:tcW w:w="1155" w:type="dxa"/>
          </w:tcPr>
          <w:p w14:paraId="75D461D2" w14:textId="77777777" w:rsidR="007C1BF9" w:rsidRDefault="007C1BF9" w:rsidP="00D35E90">
            <w:pPr>
              <w:spacing w:line="276" w:lineRule="auto"/>
              <w:jc w:val="center"/>
              <w:rPr>
                <w:rFonts w:ascii="Arial" w:hAnsi="Arial" w:cs="Arial"/>
                <w:b/>
                <w:sz w:val="18"/>
              </w:rPr>
            </w:pPr>
            <w:r>
              <w:rPr>
                <w:rFonts w:ascii="Arial" w:hAnsi="Arial" w:cs="Arial"/>
                <w:b/>
                <w:sz w:val="18"/>
              </w:rPr>
              <w:t>E</w:t>
            </w:r>
          </w:p>
          <w:p w14:paraId="6FB9AB3A" w14:textId="77777777" w:rsidR="007C1BF9" w:rsidRDefault="007C1BF9" w:rsidP="00D35E90">
            <w:pPr>
              <w:spacing w:line="276" w:lineRule="auto"/>
              <w:jc w:val="center"/>
              <w:rPr>
                <w:rFonts w:ascii="Arial" w:hAnsi="Arial" w:cs="Arial"/>
                <w:b/>
                <w:sz w:val="18"/>
              </w:rPr>
            </w:pPr>
            <w:r w:rsidRPr="003C6AB3">
              <w:rPr>
                <w:rFonts w:ascii="Arial" w:hAnsi="Arial" w:cs="Arial"/>
                <w:sz w:val="16"/>
              </w:rPr>
              <w:t>[MHz]</w:t>
            </w:r>
          </w:p>
        </w:tc>
        <w:tc>
          <w:tcPr>
            <w:tcW w:w="1175" w:type="dxa"/>
            <w:shd w:val="clear" w:color="auto" w:fill="auto"/>
            <w:vAlign w:val="center"/>
          </w:tcPr>
          <w:p w14:paraId="40EAB1B4" w14:textId="77777777" w:rsidR="007C1BF9" w:rsidRDefault="007C1BF9" w:rsidP="00D35E90">
            <w:pPr>
              <w:spacing w:line="276" w:lineRule="auto"/>
              <w:jc w:val="center"/>
              <w:rPr>
                <w:rFonts w:ascii="Arial" w:hAnsi="Arial" w:cs="Arial"/>
                <w:b/>
                <w:sz w:val="18"/>
              </w:rPr>
            </w:pPr>
            <w:r>
              <w:rPr>
                <w:rFonts w:ascii="Arial" w:hAnsi="Arial" w:cs="Arial"/>
                <w:b/>
                <w:sz w:val="18"/>
              </w:rPr>
              <w:t>F</w:t>
            </w:r>
          </w:p>
          <w:p w14:paraId="06B013F2" w14:textId="77777777" w:rsidR="007C1BF9" w:rsidRPr="003C6AB3" w:rsidRDefault="007C1BF9" w:rsidP="00D35E90">
            <w:pPr>
              <w:spacing w:line="276" w:lineRule="auto"/>
              <w:jc w:val="center"/>
              <w:rPr>
                <w:rFonts w:ascii="Arial" w:hAnsi="Arial" w:cs="Arial"/>
                <w:b/>
                <w:sz w:val="18"/>
              </w:rPr>
            </w:pPr>
            <w:r w:rsidRPr="003C6AB3">
              <w:rPr>
                <w:rFonts w:ascii="Arial" w:hAnsi="Arial" w:cs="Arial"/>
                <w:sz w:val="16"/>
              </w:rPr>
              <w:t>[MHz]</w:t>
            </w:r>
          </w:p>
        </w:tc>
      </w:tr>
      <w:tr w:rsidR="007C1BF9" w14:paraId="3E3B1B84" w14:textId="77777777" w:rsidTr="00D35E90">
        <w:trPr>
          <w:trHeight w:val="283"/>
          <w:jc w:val="center"/>
        </w:trPr>
        <w:tc>
          <w:tcPr>
            <w:tcW w:w="2502" w:type="dxa"/>
            <w:shd w:val="clear" w:color="auto" w:fill="auto"/>
            <w:vAlign w:val="center"/>
          </w:tcPr>
          <w:p w14:paraId="2BD29421" w14:textId="77777777" w:rsidR="007C1BF9" w:rsidRPr="00565249" w:rsidRDefault="007C1BF9" w:rsidP="00D35E90">
            <w:pPr>
              <w:jc w:val="center"/>
              <w:rPr>
                <w:rFonts w:ascii="Arial" w:hAnsi="Arial" w:cs="Arial"/>
                <w:sz w:val="18"/>
                <w:szCs w:val="18"/>
              </w:rPr>
            </w:pPr>
            <w:r>
              <w:rPr>
                <w:rFonts w:ascii="Arial" w:hAnsi="Arial" w:cs="Arial"/>
                <w:sz w:val="18"/>
                <w:szCs w:val="18"/>
              </w:rPr>
              <w:t>Within</w:t>
            </w:r>
          </w:p>
        </w:tc>
        <w:tc>
          <w:tcPr>
            <w:tcW w:w="1155" w:type="dxa"/>
            <w:shd w:val="clear" w:color="auto" w:fill="auto"/>
            <w:vAlign w:val="center"/>
          </w:tcPr>
          <w:p w14:paraId="48899380" w14:textId="77777777" w:rsidR="007C1BF9" w:rsidRPr="00AE2FD9" w:rsidRDefault="007C1BF9" w:rsidP="00D35E90">
            <w:pPr>
              <w:jc w:val="center"/>
              <w:rPr>
                <w:rFonts w:ascii="Arial" w:hAnsi="Arial" w:cs="Arial"/>
                <w:sz w:val="18"/>
                <w:szCs w:val="18"/>
              </w:rPr>
            </w:pPr>
            <w:r>
              <w:rPr>
                <w:rFonts w:ascii="Arial" w:hAnsi="Arial" w:cs="Arial"/>
                <w:sz w:val="18"/>
                <w:szCs w:val="18"/>
              </w:rPr>
              <w:t>LE</w:t>
            </w:r>
          </w:p>
        </w:tc>
        <w:tc>
          <w:tcPr>
            <w:tcW w:w="1155" w:type="dxa"/>
            <w:shd w:val="clear" w:color="auto" w:fill="auto"/>
            <w:vAlign w:val="center"/>
          </w:tcPr>
          <w:p w14:paraId="60EC6359" w14:textId="77777777" w:rsidR="007C1BF9" w:rsidRPr="00AE2FD9" w:rsidRDefault="007C1BF9" w:rsidP="00D35E90">
            <w:pPr>
              <w:jc w:val="center"/>
              <w:rPr>
                <w:rFonts w:ascii="Arial" w:hAnsi="Arial" w:cs="Arial"/>
                <w:sz w:val="18"/>
                <w:szCs w:val="18"/>
              </w:rPr>
            </w:pPr>
            <w:r>
              <w:rPr>
                <w:rFonts w:ascii="Arial" w:hAnsi="Arial" w:cs="Arial"/>
                <w:sz w:val="18"/>
                <w:szCs w:val="18"/>
              </w:rPr>
              <w:t>LE</w:t>
            </w:r>
            <w:r w:rsidRPr="00AE2FD9">
              <w:rPr>
                <w:rFonts w:ascii="Arial" w:hAnsi="Arial" w:cs="Arial"/>
                <w:sz w:val="18"/>
                <w:szCs w:val="18"/>
              </w:rPr>
              <w:t xml:space="preserve"> + </w:t>
            </w:r>
            <w:r>
              <w:rPr>
                <w:rFonts w:ascii="Arial" w:hAnsi="Arial" w:cs="Arial"/>
                <w:sz w:val="18"/>
                <w:szCs w:val="18"/>
              </w:rPr>
              <w:t>1</w:t>
            </w:r>
          </w:p>
        </w:tc>
        <w:tc>
          <w:tcPr>
            <w:tcW w:w="1247" w:type="dxa"/>
            <w:shd w:val="clear" w:color="auto" w:fill="auto"/>
            <w:vAlign w:val="center"/>
          </w:tcPr>
          <w:p w14:paraId="67AC42F8" w14:textId="77777777" w:rsidR="007C1BF9" w:rsidRPr="00AE2FD9" w:rsidRDefault="007C1BF9" w:rsidP="00D35E90">
            <w:pPr>
              <w:jc w:val="center"/>
              <w:rPr>
                <w:rFonts w:ascii="Arial" w:hAnsi="Arial" w:cs="Arial"/>
                <w:sz w:val="18"/>
              </w:rPr>
            </w:pPr>
            <w:r>
              <w:rPr>
                <w:rFonts w:ascii="Arial" w:hAnsi="Arial" w:cs="Arial"/>
                <w:sz w:val="18"/>
              </w:rPr>
              <w:t>LE + 20</w:t>
            </w:r>
          </w:p>
        </w:tc>
        <w:tc>
          <w:tcPr>
            <w:tcW w:w="1247" w:type="dxa"/>
            <w:vAlign w:val="center"/>
          </w:tcPr>
          <w:p w14:paraId="569204AD" w14:textId="77777777" w:rsidR="007C1BF9" w:rsidRPr="00AE2FD9" w:rsidRDefault="007C1BF9" w:rsidP="00D35E90">
            <w:pPr>
              <w:jc w:val="center"/>
              <w:rPr>
                <w:rFonts w:ascii="Arial" w:hAnsi="Arial" w:cs="Arial"/>
                <w:sz w:val="18"/>
                <w:szCs w:val="18"/>
              </w:rPr>
            </w:pPr>
            <w:r>
              <w:rPr>
                <w:rFonts w:ascii="Arial" w:hAnsi="Arial" w:cs="Arial"/>
                <w:sz w:val="18"/>
                <w:szCs w:val="18"/>
              </w:rPr>
              <w:t>RE - 20</w:t>
            </w:r>
          </w:p>
        </w:tc>
        <w:tc>
          <w:tcPr>
            <w:tcW w:w="1155" w:type="dxa"/>
            <w:vAlign w:val="center"/>
          </w:tcPr>
          <w:p w14:paraId="3ACA3FDB" w14:textId="77777777" w:rsidR="007C1BF9" w:rsidRPr="00AE2FD9" w:rsidRDefault="007C1BF9" w:rsidP="00D35E90">
            <w:pPr>
              <w:jc w:val="center"/>
              <w:rPr>
                <w:rFonts w:ascii="Arial" w:hAnsi="Arial" w:cs="Arial"/>
                <w:sz w:val="18"/>
                <w:szCs w:val="18"/>
              </w:rPr>
            </w:pPr>
            <w:r>
              <w:rPr>
                <w:rFonts w:ascii="Arial" w:hAnsi="Arial" w:cs="Arial"/>
                <w:sz w:val="18"/>
                <w:szCs w:val="18"/>
              </w:rPr>
              <w:t>RE - 1</w:t>
            </w:r>
          </w:p>
        </w:tc>
        <w:tc>
          <w:tcPr>
            <w:tcW w:w="1175" w:type="dxa"/>
            <w:shd w:val="clear" w:color="auto" w:fill="auto"/>
            <w:vAlign w:val="center"/>
          </w:tcPr>
          <w:p w14:paraId="7C009AAF" w14:textId="77777777" w:rsidR="007C1BF9" w:rsidRPr="00AE2FD9" w:rsidRDefault="007C1BF9" w:rsidP="00D35E90">
            <w:pPr>
              <w:jc w:val="center"/>
              <w:rPr>
                <w:rFonts w:ascii="Arial" w:hAnsi="Arial" w:cs="Arial"/>
                <w:sz w:val="18"/>
              </w:rPr>
            </w:pPr>
            <w:r>
              <w:rPr>
                <w:rFonts w:ascii="Arial" w:hAnsi="Arial" w:cs="Arial"/>
                <w:sz w:val="18"/>
              </w:rPr>
              <w:t>RE</w:t>
            </w:r>
          </w:p>
        </w:tc>
      </w:tr>
      <w:tr w:rsidR="007C1BF9" w14:paraId="562E217A" w14:textId="77777777" w:rsidTr="00D35E90">
        <w:trPr>
          <w:trHeight w:val="283"/>
          <w:jc w:val="center"/>
        </w:trPr>
        <w:tc>
          <w:tcPr>
            <w:tcW w:w="2502" w:type="dxa"/>
            <w:shd w:val="clear" w:color="auto" w:fill="auto"/>
            <w:vAlign w:val="center"/>
          </w:tcPr>
          <w:p w14:paraId="7C9B7F2D" w14:textId="77777777" w:rsidR="007C1BF9" w:rsidRPr="00450784" w:rsidRDefault="007C1BF9" w:rsidP="00D35E90">
            <w:pPr>
              <w:jc w:val="center"/>
              <w:rPr>
                <w:rFonts w:ascii="Arial" w:hAnsi="Arial" w:cs="Arial"/>
                <w:sz w:val="18"/>
                <w:szCs w:val="18"/>
              </w:rPr>
            </w:pPr>
            <w:r>
              <w:rPr>
                <w:rFonts w:ascii="Arial" w:hAnsi="Arial" w:cs="Arial"/>
                <w:sz w:val="18"/>
                <w:szCs w:val="18"/>
              </w:rPr>
              <w:t>Left edge</w:t>
            </w:r>
          </w:p>
        </w:tc>
        <w:tc>
          <w:tcPr>
            <w:tcW w:w="1155" w:type="dxa"/>
            <w:shd w:val="clear" w:color="auto" w:fill="auto"/>
            <w:vAlign w:val="center"/>
          </w:tcPr>
          <w:p w14:paraId="746AD496" w14:textId="77777777" w:rsidR="007C1BF9" w:rsidRPr="00AE2FD9" w:rsidRDefault="007C1BF9" w:rsidP="00D35E90">
            <w:pPr>
              <w:jc w:val="center"/>
              <w:rPr>
                <w:rFonts w:ascii="Arial" w:hAnsi="Arial" w:cs="Arial"/>
                <w:sz w:val="18"/>
                <w:szCs w:val="18"/>
              </w:rPr>
            </w:pPr>
            <w:r>
              <w:rPr>
                <w:rFonts w:ascii="Arial" w:hAnsi="Arial" w:cs="Arial"/>
                <w:sz w:val="18"/>
                <w:szCs w:val="18"/>
              </w:rPr>
              <w:t>LE</w:t>
            </w:r>
          </w:p>
        </w:tc>
        <w:tc>
          <w:tcPr>
            <w:tcW w:w="1155" w:type="dxa"/>
            <w:shd w:val="clear" w:color="auto" w:fill="auto"/>
            <w:vAlign w:val="center"/>
          </w:tcPr>
          <w:p w14:paraId="416A666B" w14:textId="77777777" w:rsidR="007C1BF9" w:rsidRPr="00AE2FD9" w:rsidRDefault="007C1BF9" w:rsidP="00D35E90">
            <w:pPr>
              <w:jc w:val="center"/>
              <w:rPr>
                <w:rFonts w:ascii="Arial" w:hAnsi="Arial" w:cs="Arial"/>
                <w:sz w:val="18"/>
                <w:szCs w:val="18"/>
              </w:rPr>
            </w:pPr>
            <w:r>
              <w:rPr>
                <w:rFonts w:ascii="Arial" w:hAnsi="Arial" w:cs="Arial"/>
                <w:sz w:val="18"/>
                <w:szCs w:val="18"/>
              </w:rPr>
              <w:t>LE + 1</w:t>
            </w:r>
          </w:p>
        </w:tc>
        <w:tc>
          <w:tcPr>
            <w:tcW w:w="1247" w:type="dxa"/>
            <w:shd w:val="clear" w:color="auto" w:fill="auto"/>
            <w:vAlign w:val="center"/>
          </w:tcPr>
          <w:p w14:paraId="29E7EE50" w14:textId="77777777" w:rsidR="007C1BF9" w:rsidRPr="00AE2FD9" w:rsidRDefault="007C1BF9" w:rsidP="00D35E90">
            <w:pPr>
              <w:jc w:val="center"/>
              <w:rPr>
                <w:rFonts w:ascii="Arial" w:hAnsi="Arial" w:cs="Arial"/>
                <w:sz w:val="18"/>
                <w:szCs w:val="18"/>
              </w:rPr>
            </w:pPr>
            <w:r>
              <w:rPr>
                <w:rFonts w:ascii="Arial" w:hAnsi="Arial" w:cs="Arial"/>
                <w:sz w:val="18"/>
                <w:szCs w:val="18"/>
              </w:rPr>
              <w:t>LE + 20</w:t>
            </w:r>
          </w:p>
        </w:tc>
        <w:tc>
          <w:tcPr>
            <w:tcW w:w="1247" w:type="dxa"/>
            <w:vAlign w:val="center"/>
          </w:tcPr>
          <w:p w14:paraId="41AE4BED" w14:textId="77777777" w:rsidR="007C1BF9" w:rsidRPr="00AE2FD9" w:rsidRDefault="007C1BF9" w:rsidP="00D35E90">
            <w:pPr>
              <w:jc w:val="center"/>
              <w:rPr>
                <w:rFonts w:ascii="Arial" w:hAnsi="Arial" w:cs="Arial"/>
                <w:sz w:val="18"/>
                <w:szCs w:val="18"/>
              </w:rPr>
            </w:pPr>
            <w:r>
              <w:rPr>
                <w:rFonts w:ascii="Arial" w:hAnsi="Arial" w:cs="Arial"/>
                <w:sz w:val="18"/>
                <w:szCs w:val="18"/>
              </w:rPr>
              <w:t>LE + N</w:t>
            </w:r>
          </w:p>
        </w:tc>
        <w:tc>
          <w:tcPr>
            <w:tcW w:w="1155" w:type="dxa"/>
            <w:vAlign w:val="center"/>
          </w:tcPr>
          <w:p w14:paraId="56A3AD45" w14:textId="77777777" w:rsidR="007C1BF9" w:rsidRPr="00AE2FD9" w:rsidRDefault="007C1BF9" w:rsidP="00D35E90">
            <w:pPr>
              <w:jc w:val="center"/>
              <w:rPr>
                <w:rFonts w:ascii="Arial" w:hAnsi="Arial" w:cs="Arial"/>
                <w:sz w:val="18"/>
                <w:szCs w:val="18"/>
              </w:rPr>
            </w:pPr>
            <w:r w:rsidRPr="00AE2FD9">
              <w:rPr>
                <w:rFonts w:ascii="Arial" w:hAnsi="Arial" w:cs="Arial"/>
                <w:sz w:val="18"/>
                <w:szCs w:val="18"/>
              </w:rPr>
              <w:t>-</w:t>
            </w:r>
          </w:p>
        </w:tc>
        <w:tc>
          <w:tcPr>
            <w:tcW w:w="1175" w:type="dxa"/>
            <w:shd w:val="clear" w:color="auto" w:fill="auto"/>
            <w:vAlign w:val="center"/>
          </w:tcPr>
          <w:p w14:paraId="603B18AA" w14:textId="77777777" w:rsidR="007C1BF9" w:rsidRPr="00AE2FD9" w:rsidRDefault="007C1BF9" w:rsidP="00D35E90">
            <w:pPr>
              <w:jc w:val="center"/>
              <w:rPr>
                <w:rFonts w:ascii="Arial" w:hAnsi="Arial" w:cs="Arial"/>
                <w:sz w:val="18"/>
                <w:szCs w:val="18"/>
              </w:rPr>
            </w:pPr>
            <w:r w:rsidRPr="00AE2FD9">
              <w:rPr>
                <w:rFonts w:ascii="Arial" w:hAnsi="Arial" w:cs="Arial"/>
                <w:sz w:val="18"/>
                <w:szCs w:val="18"/>
              </w:rPr>
              <w:t>-</w:t>
            </w:r>
          </w:p>
        </w:tc>
      </w:tr>
      <w:tr w:rsidR="007C1BF9" w14:paraId="573C94D1" w14:textId="77777777" w:rsidTr="00D35E90">
        <w:trPr>
          <w:trHeight w:val="283"/>
          <w:jc w:val="center"/>
        </w:trPr>
        <w:tc>
          <w:tcPr>
            <w:tcW w:w="2502" w:type="dxa"/>
            <w:shd w:val="clear" w:color="auto" w:fill="auto"/>
            <w:vAlign w:val="center"/>
          </w:tcPr>
          <w:p w14:paraId="42C7187E" w14:textId="77777777" w:rsidR="007C1BF9" w:rsidRPr="00450784" w:rsidRDefault="007C1BF9" w:rsidP="00D35E90">
            <w:pPr>
              <w:jc w:val="center"/>
              <w:rPr>
                <w:rFonts w:ascii="Arial" w:hAnsi="Arial" w:cs="Arial"/>
                <w:sz w:val="18"/>
                <w:szCs w:val="18"/>
              </w:rPr>
            </w:pPr>
            <w:r>
              <w:rPr>
                <w:rFonts w:ascii="Arial" w:hAnsi="Arial" w:cs="Arial"/>
                <w:sz w:val="18"/>
                <w:szCs w:val="18"/>
              </w:rPr>
              <w:t>R</w:t>
            </w:r>
            <w:r w:rsidRPr="00450784">
              <w:rPr>
                <w:rFonts w:ascii="Arial" w:hAnsi="Arial" w:cs="Arial"/>
                <w:sz w:val="18"/>
                <w:szCs w:val="18"/>
              </w:rPr>
              <w:t xml:space="preserve">ight </w:t>
            </w:r>
            <w:r>
              <w:rPr>
                <w:rFonts w:ascii="Arial" w:hAnsi="Arial" w:cs="Arial"/>
                <w:sz w:val="18"/>
                <w:szCs w:val="18"/>
              </w:rPr>
              <w:t>edge</w:t>
            </w:r>
          </w:p>
        </w:tc>
        <w:tc>
          <w:tcPr>
            <w:tcW w:w="1155" w:type="dxa"/>
            <w:shd w:val="clear" w:color="auto" w:fill="auto"/>
            <w:vAlign w:val="center"/>
          </w:tcPr>
          <w:p w14:paraId="6B036513" w14:textId="77777777" w:rsidR="007C1BF9" w:rsidRPr="00AE2FD9" w:rsidRDefault="007C1BF9" w:rsidP="00D35E90">
            <w:pPr>
              <w:jc w:val="center"/>
              <w:rPr>
                <w:rFonts w:ascii="Arial" w:hAnsi="Arial" w:cs="Arial"/>
                <w:sz w:val="18"/>
                <w:szCs w:val="18"/>
              </w:rPr>
            </w:pPr>
            <w:r w:rsidRPr="00AE2FD9">
              <w:rPr>
                <w:rFonts w:ascii="Arial" w:hAnsi="Arial" w:cs="Arial"/>
                <w:sz w:val="18"/>
                <w:szCs w:val="18"/>
              </w:rPr>
              <w:t>-</w:t>
            </w:r>
          </w:p>
        </w:tc>
        <w:tc>
          <w:tcPr>
            <w:tcW w:w="1155" w:type="dxa"/>
            <w:shd w:val="clear" w:color="auto" w:fill="auto"/>
            <w:vAlign w:val="center"/>
          </w:tcPr>
          <w:p w14:paraId="7C4978CB" w14:textId="77777777" w:rsidR="007C1BF9" w:rsidRPr="00AE2FD9" w:rsidRDefault="007C1BF9" w:rsidP="00D35E90">
            <w:pPr>
              <w:jc w:val="center"/>
              <w:rPr>
                <w:rFonts w:ascii="Arial" w:hAnsi="Arial" w:cs="Arial"/>
                <w:sz w:val="18"/>
                <w:szCs w:val="18"/>
              </w:rPr>
            </w:pPr>
            <w:r w:rsidRPr="00AE2FD9">
              <w:rPr>
                <w:rFonts w:ascii="Arial" w:hAnsi="Arial" w:cs="Arial"/>
                <w:sz w:val="18"/>
                <w:szCs w:val="18"/>
              </w:rPr>
              <w:t>-</w:t>
            </w:r>
          </w:p>
        </w:tc>
        <w:tc>
          <w:tcPr>
            <w:tcW w:w="1247" w:type="dxa"/>
            <w:shd w:val="clear" w:color="auto" w:fill="auto"/>
            <w:vAlign w:val="center"/>
          </w:tcPr>
          <w:p w14:paraId="29ABFD5B" w14:textId="77777777" w:rsidR="007C1BF9" w:rsidRPr="00AE2FD9" w:rsidRDefault="007C1BF9" w:rsidP="00D35E90">
            <w:pPr>
              <w:jc w:val="center"/>
              <w:rPr>
                <w:rFonts w:ascii="Arial" w:hAnsi="Arial" w:cs="Arial"/>
                <w:sz w:val="18"/>
              </w:rPr>
            </w:pPr>
            <w:r>
              <w:rPr>
                <w:rFonts w:ascii="Arial" w:hAnsi="Arial" w:cs="Arial"/>
                <w:sz w:val="18"/>
                <w:szCs w:val="18"/>
              </w:rPr>
              <w:t>RE – N</w:t>
            </w:r>
          </w:p>
        </w:tc>
        <w:tc>
          <w:tcPr>
            <w:tcW w:w="1247" w:type="dxa"/>
            <w:vAlign w:val="center"/>
          </w:tcPr>
          <w:p w14:paraId="46235E68" w14:textId="77777777" w:rsidR="007C1BF9" w:rsidRPr="00AE2FD9" w:rsidRDefault="007C1BF9" w:rsidP="00D35E90">
            <w:pPr>
              <w:jc w:val="center"/>
              <w:rPr>
                <w:rFonts w:ascii="Arial" w:hAnsi="Arial" w:cs="Arial"/>
                <w:sz w:val="18"/>
                <w:szCs w:val="18"/>
              </w:rPr>
            </w:pPr>
            <w:r>
              <w:rPr>
                <w:rFonts w:ascii="Arial" w:hAnsi="Arial" w:cs="Arial"/>
                <w:sz w:val="18"/>
                <w:szCs w:val="18"/>
              </w:rPr>
              <w:t>RE - 20</w:t>
            </w:r>
          </w:p>
        </w:tc>
        <w:tc>
          <w:tcPr>
            <w:tcW w:w="1155" w:type="dxa"/>
            <w:vAlign w:val="center"/>
          </w:tcPr>
          <w:p w14:paraId="55E98728" w14:textId="77777777" w:rsidR="007C1BF9" w:rsidRPr="00AE2FD9" w:rsidRDefault="007C1BF9" w:rsidP="00D35E90">
            <w:pPr>
              <w:jc w:val="center"/>
              <w:rPr>
                <w:rFonts w:ascii="Arial" w:hAnsi="Arial" w:cs="Arial"/>
                <w:sz w:val="18"/>
                <w:szCs w:val="18"/>
              </w:rPr>
            </w:pPr>
            <w:r>
              <w:rPr>
                <w:rFonts w:ascii="Arial" w:hAnsi="Arial" w:cs="Arial"/>
                <w:sz w:val="18"/>
                <w:szCs w:val="18"/>
              </w:rPr>
              <w:t>RE - 1</w:t>
            </w:r>
          </w:p>
        </w:tc>
        <w:tc>
          <w:tcPr>
            <w:tcW w:w="1175" w:type="dxa"/>
            <w:shd w:val="clear" w:color="auto" w:fill="auto"/>
            <w:vAlign w:val="center"/>
          </w:tcPr>
          <w:p w14:paraId="7AF2FF64" w14:textId="77777777" w:rsidR="007C1BF9" w:rsidRPr="00AE2FD9" w:rsidRDefault="007C1BF9" w:rsidP="00D35E90">
            <w:pPr>
              <w:jc w:val="center"/>
              <w:rPr>
                <w:rFonts w:ascii="Arial" w:hAnsi="Arial" w:cs="Arial"/>
                <w:sz w:val="18"/>
              </w:rPr>
            </w:pPr>
            <w:r>
              <w:rPr>
                <w:rFonts w:ascii="Arial" w:hAnsi="Arial" w:cs="Arial"/>
                <w:sz w:val="18"/>
              </w:rPr>
              <w:t>RE</w:t>
            </w:r>
          </w:p>
        </w:tc>
      </w:tr>
      <w:tr w:rsidR="007C1BF9" w14:paraId="2B58104B" w14:textId="77777777" w:rsidTr="00D35E90">
        <w:trPr>
          <w:trHeight w:val="283"/>
          <w:jc w:val="center"/>
        </w:trPr>
        <w:tc>
          <w:tcPr>
            <w:tcW w:w="9636" w:type="dxa"/>
            <w:gridSpan w:val="7"/>
            <w:shd w:val="clear" w:color="auto" w:fill="auto"/>
            <w:vAlign w:val="center"/>
          </w:tcPr>
          <w:p w14:paraId="4A25E892" w14:textId="77777777" w:rsidR="007C1BF9" w:rsidRDefault="007C1BF9" w:rsidP="00D35E90">
            <w:pPr>
              <w:rPr>
                <w:rFonts w:ascii="Arial" w:hAnsi="Arial" w:cs="Arial"/>
                <w:sz w:val="18"/>
              </w:rPr>
            </w:pPr>
            <w:r w:rsidRPr="00302FDD">
              <w:rPr>
                <w:rFonts w:ascii="Arial" w:hAnsi="Arial" w:cs="Arial"/>
                <w:sz w:val="18"/>
                <w:szCs w:val="18"/>
              </w:rPr>
              <w:t xml:space="preserve">Note: </w:t>
            </w:r>
            <w:r>
              <w:rPr>
                <w:rFonts w:ascii="Arial" w:hAnsi="Arial" w:cs="Arial"/>
                <w:sz w:val="18"/>
                <w:szCs w:val="18"/>
                <w:lang w:eastAsia="x-none"/>
              </w:rPr>
              <w:t>N</w:t>
            </w:r>
            <w:r w:rsidRPr="00302FDD">
              <w:rPr>
                <w:rFonts w:ascii="Arial" w:hAnsi="Arial" w:cs="Arial"/>
                <w:sz w:val="18"/>
                <w:szCs w:val="18"/>
                <w:lang w:eastAsia="x-none"/>
              </w:rPr>
              <w:t xml:space="preserve"> is the </w:t>
            </w:r>
            <w:r>
              <w:rPr>
                <w:rFonts w:ascii="Arial" w:hAnsi="Arial" w:cs="Arial"/>
                <w:sz w:val="18"/>
                <w:szCs w:val="18"/>
                <w:lang w:eastAsia="x-none"/>
              </w:rPr>
              <w:t>Nominal Channel Bandwidth</w:t>
            </w:r>
            <w:r w:rsidRPr="0060622D">
              <w:rPr>
                <w:rFonts w:ascii="Arial" w:hAnsi="Arial" w:cs="Arial"/>
                <w:sz w:val="18"/>
                <w:szCs w:val="18"/>
                <w:lang w:eastAsia="x-none"/>
              </w:rPr>
              <w:t xml:space="preserve"> </w:t>
            </w:r>
            <w:r w:rsidRPr="00302FDD">
              <w:rPr>
                <w:rFonts w:ascii="Arial" w:hAnsi="Arial" w:cs="Arial"/>
                <w:sz w:val="18"/>
                <w:szCs w:val="18"/>
                <w:lang w:eastAsia="x-none"/>
              </w:rPr>
              <w:t>(in MHz)</w:t>
            </w:r>
            <w:r>
              <w:rPr>
                <w:rFonts w:ascii="Arial" w:hAnsi="Arial" w:cs="Arial"/>
                <w:sz w:val="18"/>
                <w:szCs w:val="18"/>
                <w:lang w:eastAsia="x-none"/>
              </w:rPr>
              <w:t xml:space="preserve"> of the initial carrier</w:t>
            </w:r>
            <w:r w:rsidRPr="00302FDD">
              <w:rPr>
                <w:rFonts w:ascii="Arial" w:hAnsi="Arial" w:cs="Arial"/>
                <w:sz w:val="18"/>
                <w:szCs w:val="18"/>
                <w:lang w:eastAsia="x-none"/>
              </w:rPr>
              <w:t>. LE is the frequency of the lower edge of the succeeded LBT sub-band (in MHz). RE is the frequency of the upper edge of the succeeded LBT sub-band (in MHz).</w:t>
            </w:r>
          </w:p>
        </w:tc>
      </w:tr>
    </w:tbl>
    <w:p w14:paraId="7E29F6F6" w14:textId="77777777" w:rsidR="007C1BF9" w:rsidRPr="00511A8E" w:rsidRDefault="007C1BF9" w:rsidP="007C1BF9">
      <w:pPr>
        <w:spacing w:line="360" w:lineRule="auto"/>
        <w:ind w:left="54"/>
        <w:jc w:val="both"/>
        <w:rPr>
          <w:b/>
          <w:u w:val="single"/>
          <w:lang w:eastAsia="x-none"/>
        </w:rPr>
      </w:pPr>
      <w:r>
        <w:rPr>
          <w:b/>
          <w:u w:val="single"/>
          <w:lang w:eastAsia="x-none"/>
        </w:rPr>
        <w:lastRenderedPageBreak/>
        <w:t>LO leakage exception:</w:t>
      </w:r>
      <w:r w:rsidRPr="00511A8E">
        <w:rPr>
          <w:b/>
          <w:u w:val="single"/>
          <w:lang w:eastAsia="x-none"/>
        </w:rPr>
        <w:t xml:space="preserve"> </w:t>
      </w:r>
    </w:p>
    <w:p w14:paraId="2AF4264B" w14:textId="77777777" w:rsidR="007C1BF9" w:rsidRDefault="007C1BF9" w:rsidP="007C1BF9">
      <w:pPr>
        <w:jc w:val="both"/>
      </w:pPr>
      <w:r>
        <w:rPr>
          <w:lang w:eastAsia="x-none"/>
        </w:rPr>
        <w:t xml:space="preserve">In Figure 2 it can be noted that there is an exception point (Exp. P) within the in-carrier spectral emission mask. This have been included to accommodate </w:t>
      </w:r>
      <w:r w:rsidRPr="006E7FF4">
        <w:rPr>
          <w:lang w:eastAsia="x-none"/>
        </w:rPr>
        <w:t xml:space="preserve">LO leakage </w:t>
      </w:r>
      <w:r>
        <w:rPr>
          <w:lang w:eastAsia="x-none"/>
        </w:rPr>
        <w:t xml:space="preserve">which might fall in the </w:t>
      </w:r>
      <w:r>
        <w:rPr>
          <w:noProof/>
          <w:lang w:eastAsia="zh-CN"/>
        </w:rPr>
        <w:t xml:space="preserve">unavailable </w:t>
      </w:r>
      <w:r w:rsidRPr="00D55ADE">
        <w:t>sub-</w:t>
      </w:r>
      <w:r>
        <w:t>channels in certain LBT outcome scenarios.</w:t>
      </w:r>
    </w:p>
    <w:p w14:paraId="5565836E" w14:textId="4CBDBA2C" w:rsidR="007C1BF9" w:rsidRDefault="00B27CD5" w:rsidP="007C1BF9">
      <w:pPr>
        <w:jc w:val="both"/>
      </w:pPr>
      <w:r>
        <w:t xml:space="preserve">Therefore, it is </w:t>
      </w:r>
      <w:r w:rsidR="007C1BF9">
        <w:t xml:space="preserve">proposed to </w:t>
      </w:r>
      <w:r w:rsidR="007C1BF9" w:rsidRPr="006E7FF4">
        <w:t>allow an exception to the emission limits in a</w:t>
      </w:r>
      <w:r w:rsidR="007C1BF9">
        <w:t>n</w:t>
      </w:r>
      <w:r w:rsidR="007C1BF9" w:rsidRPr="006E7FF4">
        <w:t xml:space="preserve"> </w:t>
      </w:r>
      <w:r w:rsidR="007C1BF9">
        <w:rPr>
          <w:noProof/>
          <w:lang w:eastAsia="zh-CN"/>
        </w:rPr>
        <w:t xml:space="preserve">unavailable </w:t>
      </w:r>
      <w:r w:rsidR="007C1BF9" w:rsidRPr="00D55ADE">
        <w:t>sub-</w:t>
      </w:r>
      <w:r w:rsidR="007C1BF9">
        <w:t xml:space="preserve">channel </w:t>
      </w:r>
      <w:r w:rsidR="007C1BF9" w:rsidRPr="006E7FF4">
        <w:t xml:space="preserve">up to 27 dB below the total power (-27 dBc) in </w:t>
      </w:r>
      <w:r w:rsidR="007C1BF9">
        <w:t>one</w:t>
      </w:r>
      <w:r w:rsidR="007C1BF9" w:rsidRPr="006E7FF4">
        <w:t xml:space="preserve"> </w:t>
      </w:r>
      <w:r w:rsidR="007C1BF9">
        <w:t>single 1</w:t>
      </w:r>
      <w:r w:rsidR="007C1BF9" w:rsidRPr="006E7FF4">
        <w:t xml:space="preserve"> MHz bandwidth within the </w:t>
      </w:r>
      <w:r w:rsidR="007C1BF9">
        <w:t xml:space="preserve">wideband carrier </w:t>
      </w:r>
      <w:r w:rsidR="007C1BF9" w:rsidRPr="006E7FF4">
        <w:t xml:space="preserve">or a </w:t>
      </w:r>
      <w:r w:rsidR="007C1BF9">
        <w:t xml:space="preserve">level of </w:t>
      </w:r>
      <w:r w:rsidR="007C1BF9" w:rsidRPr="006E7FF4">
        <w:t>-20 dBm/MHz whichever is the greatest</w:t>
      </w:r>
      <w:r w:rsidR="007C1BF9">
        <w:t>.</w:t>
      </w:r>
    </w:p>
    <w:p w14:paraId="09D3D20C" w14:textId="77777777" w:rsidR="007C1BF9" w:rsidRPr="00511A8E" w:rsidRDefault="007C1BF9" w:rsidP="007C1BF9">
      <w:pPr>
        <w:spacing w:line="360" w:lineRule="auto"/>
        <w:ind w:left="54"/>
        <w:jc w:val="both"/>
        <w:rPr>
          <w:b/>
          <w:u w:val="single"/>
          <w:lang w:eastAsia="x-none"/>
        </w:rPr>
      </w:pPr>
      <w:r>
        <w:rPr>
          <w:b/>
          <w:u w:val="single"/>
          <w:lang w:eastAsia="x-none"/>
        </w:rPr>
        <w:t xml:space="preserve">Application of the </w:t>
      </w:r>
      <w:r w:rsidRPr="00511A8E">
        <w:rPr>
          <w:b/>
          <w:u w:val="single"/>
          <w:lang w:eastAsia="x-none"/>
        </w:rPr>
        <w:t>spectra</w:t>
      </w:r>
      <w:r>
        <w:rPr>
          <w:b/>
          <w:u w:val="single"/>
          <w:lang w:eastAsia="x-none"/>
        </w:rPr>
        <w:t>l</w:t>
      </w:r>
      <w:r w:rsidRPr="00511A8E">
        <w:rPr>
          <w:b/>
          <w:u w:val="single"/>
          <w:lang w:eastAsia="x-none"/>
        </w:rPr>
        <w:t xml:space="preserve"> emission mask</w:t>
      </w:r>
      <w:r>
        <w:rPr>
          <w:b/>
          <w:u w:val="single"/>
          <w:lang w:eastAsia="x-none"/>
        </w:rPr>
        <w:t>s:</w:t>
      </w:r>
      <w:r w:rsidRPr="00511A8E">
        <w:rPr>
          <w:b/>
          <w:u w:val="single"/>
          <w:lang w:eastAsia="x-none"/>
        </w:rPr>
        <w:t xml:space="preserve"> </w:t>
      </w:r>
    </w:p>
    <w:p w14:paraId="1E2DC4E4" w14:textId="77777777" w:rsidR="007C1BF9" w:rsidRDefault="007C1BF9" w:rsidP="007C1BF9">
      <w:pPr>
        <w:keepNext/>
        <w:jc w:val="both"/>
      </w:pPr>
      <w:r>
        <w:t>The combined spectral emission mask, consisting of the carrier and in-carrier spectral emission mask, with a potential LO leakage exception, is given as:</w:t>
      </w:r>
    </w:p>
    <w:p w14:paraId="5CE730F3" w14:textId="77777777" w:rsidR="007C1BF9" w:rsidRDefault="007C1BF9" w:rsidP="007C1BF9">
      <w:pPr>
        <w:keepNext/>
        <w:jc w:val="both"/>
      </w:pPr>
    </w:p>
    <w:p w14:paraId="2C4DB71D" w14:textId="0EBC1017" w:rsidR="007C1BF9" w:rsidRDefault="007C1BF9" w:rsidP="00B27CD5">
      <w:pPr>
        <w:pStyle w:val="ListParagraph"/>
        <w:keepNext/>
        <w:numPr>
          <w:ilvl w:val="0"/>
          <w:numId w:val="47"/>
        </w:numPr>
        <w:spacing w:after="0"/>
        <w:ind w:left="567" w:hanging="283"/>
        <w:jc w:val="both"/>
      </w:pPr>
      <w:r>
        <w:t>For requirements outside the nominal bandwidth for which transmissions were intended, the most stringent of</w:t>
      </w:r>
      <w:r w:rsidR="00B27CD5">
        <w:t xml:space="preserve"> </w:t>
      </w:r>
      <w:r>
        <w:t>the carrier and in-carrier spectral emission mask apply.</w:t>
      </w:r>
    </w:p>
    <w:p w14:paraId="3C76AF66" w14:textId="77777777" w:rsidR="007C1BF9" w:rsidRDefault="007C1BF9" w:rsidP="00B27CD5">
      <w:pPr>
        <w:pStyle w:val="ListParagraph"/>
        <w:keepNext/>
        <w:numPr>
          <w:ilvl w:val="0"/>
          <w:numId w:val="47"/>
        </w:numPr>
        <w:spacing w:after="0"/>
        <w:ind w:left="567" w:hanging="283"/>
        <w:jc w:val="both"/>
      </w:pPr>
      <w:r>
        <w:t xml:space="preserve">For requirements where </w:t>
      </w:r>
      <w:r w:rsidRPr="00D55ADE">
        <w:t>one or more of the sub-</w:t>
      </w:r>
      <w:r>
        <w:t>channels</w:t>
      </w:r>
      <w:r w:rsidRPr="001B0522">
        <w:t xml:space="preserve"> </w:t>
      </w:r>
      <w:r>
        <w:t xml:space="preserve">in a </w:t>
      </w:r>
      <w:r w:rsidRPr="001B0522">
        <w:t>multi-channel configuration</w:t>
      </w:r>
      <w:r>
        <w:t xml:space="preserve"> are </w:t>
      </w:r>
      <w:r>
        <w:rPr>
          <w:noProof/>
          <w:lang w:eastAsia="zh-CN"/>
        </w:rPr>
        <w:t>unavailable</w:t>
      </w:r>
      <w:r>
        <w:t xml:space="preserve"> the in-carrier spectral emission mask apply.</w:t>
      </w:r>
    </w:p>
    <w:p w14:paraId="3033AA0E" w14:textId="77777777" w:rsidR="007C1BF9" w:rsidRDefault="007C1BF9" w:rsidP="00B27CD5">
      <w:pPr>
        <w:pStyle w:val="ListParagraph"/>
        <w:keepNext/>
        <w:numPr>
          <w:ilvl w:val="0"/>
          <w:numId w:val="47"/>
        </w:numPr>
        <w:spacing w:after="0"/>
        <w:ind w:left="567" w:hanging="283"/>
        <w:jc w:val="both"/>
      </w:pPr>
      <w:r>
        <w:t xml:space="preserve">For </w:t>
      </w:r>
      <w:r>
        <w:rPr>
          <w:noProof/>
          <w:lang w:eastAsia="zh-CN"/>
        </w:rPr>
        <w:t xml:space="preserve">unavailable </w:t>
      </w:r>
      <w:r w:rsidRPr="00D55ADE">
        <w:t>sub-</w:t>
      </w:r>
      <w:r>
        <w:t>channels</w:t>
      </w:r>
      <w:r w:rsidRPr="001B0522">
        <w:t xml:space="preserve"> </w:t>
      </w:r>
      <w:r>
        <w:t xml:space="preserve">in a </w:t>
      </w:r>
      <w:r w:rsidRPr="001B0522">
        <w:t>multi-channel configuration</w:t>
      </w:r>
      <w:r>
        <w:t xml:space="preserve"> which are located between active sub-channels and the mask edges of the two in-carrier spectral emission masks overlap, the more relaxed of the two</w:t>
      </w:r>
      <w:r w:rsidRPr="004848DE">
        <w:t xml:space="preserve"> </w:t>
      </w:r>
      <w:r>
        <w:t xml:space="preserve">in-carrier spectral emission masks applies.  </w:t>
      </w:r>
    </w:p>
    <w:p w14:paraId="490FB84C" w14:textId="77777777" w:rsidR="007C1BF9" w:rsidRDefault="007C1BF9" w:rsidP="00B27CD5">
      <w:pPr>
        <w:pStyle w:val="ListParagraph"/>
        <w:keepNext/>
        <w:numPr>
          <w:ilvl w:val="0"/>
          <w:numId w:val="47"/>
        </w:numPr>
        <w:spacing w:after="0"/>
        <w:ind w:left="567" w:hanging="283"/>
        <w:jc w:val="both"/>
      </w:pPr>
      <w:r>
        <w:t xml:space="preserve">In a single 1 MHz bandwidth within the region where the in-carrier spectral emission mask </w:t>
      </w:r>
      <w:proofErr w:type="gramStart"/>
      <w:r>
        <w:t>apply</w:t>
      </w:r>
      <w:proofErr w:type="gramEnd"/>
      <w:r>
        <w:t xml:space="preserve"> an exception allows emission </w:t>
      </w:r>
      <w:r w:rsidRPr="006E7FF4">
        <w:t xml:space="preserve">up to 27 dB below the total </w:t>
      </w:r>
      <w:r>
        <w:t xml:space="preserve">transmit </w:t>
      </w:r>
      <w:r w:rsidRPr="006E7FF4">
        <w:t xml:space="preserve">power </w:t>
      </w:r>
      <w:r>
        <w:t xml:space="preserve">for the carrier bandwidth </w:t>
      </w:r>
      <w:r w:rsidRPr="006E7FF4">
        <w:t>(-27 dBc)</w:t>
      </w:r>
      <w:r>
        <w:t xml:space="preserve"> or to a level of </w:t>
      </w:r>
      <w:r w:rsidRPr="006E7FF4">
        <w:t>-20 dBm/MHz whichever is the greatest</w:t>
      </w:r>
      <w:r>
        <w:t>.</w:t>
      </w:r>
    </w:p>
    <w:p w14:paraId="7B1E13F2" w14:textId="77777777" w:rsidR="007C1BF9" w:rsidRDefault="007C1BF9" w:rsidP="007C1BF9">
      <w:pPr>
        <w:jc w:val="both"/>
        <w:rPr>
          <w:lang w:eastAsia="x-none"/>
        </w:rPr>
      </w:pPr>
    </w:p>
    <w:p w14:paraId="4BF03109" w14:textId="77777777" w:rsidR="007C1BF9" w:rsidRPr="00C46598" w:rsidRDefault="007C1BF9" w:rsidP="007C1BF9">
      <w:pPr>
        <w:jc w:val="both"/>
        <w:rPr>
          <w:lang w:val="en-US" w:eastAsia="x-none"/>
        </w:rPr>
      </w:pPr>
      <w:r>
        <w:rPr>
          <w:lang w:val="en-US"/>
        </w:rPr>
        <w:t xml:space="preserve">The proposed application of the spectral emission mask has been illustrated for different </w:t>
      </w:r>
      <w:r w:rsidRPr="00C35266">
        <w:rPr>
          <w:lang w:val="en-US"/>
        </w:rPr>
        <w:t xml:space="preserve">LBT outcomes </w:t>
      </w:r>
      <w:r>
        <w:rPr>
          <w:lang w:val="en-US"/>
        </w:rPr>
        <w:t>and</w:t>
      </w:r>
      <w:r w:rsidRPr="00C35266">
        <w:rPr>
          <w:lang w:val="en-US"/>
        </w:rPr>
        <w:t xml:space="preserve"> channel bandwidths</w:t>
      </w:r>
      <w:r>
        <w:rPr>
          <w:lang w:val="en-US"/>
        </w:rPr>
        <w:t xml:space="preserve"> in the appendix.</w:t>
      </w:r>
    </w:p>
    <w:p w14:paraId="442FE05D" w14:textId="77777777" w:rsidR="0058114C" w:rsidRPr="007C1BF9" w:rsidRDefault="0058114C" w:rsidP="00AD407E">
      <w:pPr>
        <w:keepNext/>
        <w:spacing w:after="0"/>
        <w:jc w:val="both"/>
        <w:rPr>
          <w:lang w:val="en-US"/>
        </w:rPr>
      </w:pPr>
    </w:p>
    <w:bookmarkEnd w:id="2"/>
    <w:p w14:paraId="7BBF35E9" w14:textId="6BC9E6E4" w:rsidR="00AD407E" w:rsidRDefault="00C35266" w:rsidP="00AD407E">
      <w:pPr>
        <w:ind w:left="1136" w:hanging="1136"/>
        <w:rPr>
          <w:b/>
          <w:lang w:val="en-US"/>
        </w:rPr>
      </w:pPr>
      <w:r>
        <w:rPr>
          <w:b/>
          <w:noProof/>
          <w:lang w:val="en-US"/>
        </w:rPr>
        <w:t>Proposal 1</w:t>
      </w:r>
      <w:r w:rsidR="00AD407E" w:rsidRPr="00874641">
        <w:rPr>
          <w:b/>
          <w:noProof/>
          <w:lang w:val="en-US"/>
        </w:rPr>
        <w:t xml:space="preserve">: </w:t>
      </w:r>
      <w:r w:rsidR="00AD407E" w:rsidRPr="00874641">
        <w:rPr>
          <w:b/>
          <w:noProof/>
          <w:lang w:val="en-US"/>
        </w:rPr>
        <w:tab/>
      </w:r>
      <w:r>
        <w:rPr>
          <w:b/>
          <w:noProof/>
          <w:lang w:val="en-US"/>
        </w:rPr>
        <w:t xml:space="preserve">It is proposed to adapt the spectral emission mask as described whinin this contribution as baseline </w:t>
      </w:r>
      <w:r w:rsidR="00B27CD5">
        <w:rPr>
          <w:b/>
          <w:noProof/>
          <w:lang w:val="en-US"/>
        </w:rPr>
        <w:t xml:space="preserve">or at least working assumption </w:t>
      </w:r>
      <w:r>
        <w:rPr>
          <w:b/>
          <w:noProof/>
          <w:lang w:val="en-US"/>
        </w:rPr>
        <w:t>for NR-U</w:t>
      </w:r>
      <w:r w:rsidR="00AD407E" w:rsidRPr="00874641">
        <w:rPr>
          <w:b/>
          <w:lang w:val="en-US"/>
        </w:rPr>
        <w:t xml:space="preserve">. </w:t>
      </w:r>
    </w:p>
    <w:p w14:paraId="30BE5691" w14:textId="77777777" w:rsidR="00AD407E" w:rsidRDefault="00AD407E" w:rsidP="00AD407E">
      <w:pPr>
        <w:pStyle w:val="Heading1"/>
        <w:numPr>
          <w:ilvl w:val="0"/>
          <w:numId w:val="19"/>
        </w:numPr>
        <w:ind w:left="851" w:hanging="851"/>
      </w:pPr>
      <w:r>
        <w:t>Conclusion</w:t>
      </w:r>
    </w:p>
    <w:p w14:paraId="110BC4F5" w14:textId="77777777" w:rsidR="00AD407E" w:rsidRDefault="00AD407E" w:rsidP="00AD407E">
      <w:pPr>
        <w:jc w:val="both"/>
        <w:rPr>
          <w:noProof/>
        </w:rPr>
      </w:pPr>
      <w:r w:rsidRPr="00BD14D3">
        <w:t xml:space="preserve">This contribution </w:t>
      </w:r>
      <w:r>
        <w:t xml:space="preserve">presents </w:t>
      </w:r>
      <w:r w:rsidR="00C35266">
        <w:t>a proposal for a baseline emission mask applicable for NR-U</w:t>
      </w:r>
      <w:r>
        <w:rPr>
          <w:noProof/>
        </w:rPr>
        <w:t>.</w:t>
      </w:r>
    </w:p>
    <w:p w14:paraId="1F3B6C4F" w14:textId="0A4E58F7" w:rsidR="00C35266" w:rsidRDefault="00C35266" w:rsidP="00B27CD5">
      <w:pPr>
        <w:ind w:left="1136" w:hanging="1136"/>
        <w:rPr>
          <w:b/>
          <w:lang w:val="en-US"/>
        </w:rPr>
      </w:pPr>
      <w:r>
        <w:rPr>
          <w:b/>
          <w:noProof/>
          <w:lang w:val="en-US"/>
        </w:rPr>
        <w:t>Proposal</w:t>
      </w:r>
      <w:r w:rsidRPr="00874641">
        <w:rPr>
          <w:b/>
          <w:noProof/>
          <w:lang w:val="en-US"/>
        </w:rPr>
        <w:t xml:space="preserve"> </w:t>
      </w:r>
      <w:r>
        <w:rPr>
          <w:b/>
          <w:noProof/>
          <w:lang w:val="en-US"/>
        </w:rPr>
        <w:t>1</w:t>
      </w:r>
      <w:r w:rsidRPr="00874641">
        <w:rPr>
          <w:b/>
          <w:noProof/>
          <w:lang w:val="en-US"/>
        </w:rPr>
        <w:t xml:space="preserve">: </w:t>
      </w:r>
      <w:r w:rsidRPr="00874641">
        <w:rPr>
          <w:b/>
          <w:noProof/>
          <w:lang w:val="en-US"/>
        </w:rPr>
        <w:tab/>
      </w:r>
      <w:r w:rsidR="00B27CD5">
        <w:rPr>
          <w:b/>
          <w:noProof/>
          <w:lang w:val="en-US"/>
        </w:rPr>
        <w:t>It is proposed to adapt the spectral emission mask as described whinin this contribution as baseline or at least working assumption for NR-U</w:t>
      </w:r>
      <w:r w:rsidR="00B27CD5" w:rsidRPr="00874641">
        <w:rPr>
          <w:b/>
          <w:lang w:val="en-US"/>
        </w:rPr>
        <w:t>.</w:t>
      </w:r>
      <w:r w:rsidRPr="00874641">
        <w:rPr>
          <w:b/>
          <w:lang w:val="en-US"/>
        </w:rPr>
        <w:t xml:space="preserve"> </w:t>
      </w:r>
    </w:p>
    <w:p w14:paraId="45B6C37A" w14:textId="77777777" w:rsidR="00AD407E" w:rsidRDefault="00AD407E" w:rsidP="00AD407E">
      <w:pPr>
        <w:pStyle w:val="Heading1"/>
      </w:pPr>
      <w:r>
        <w:t xml:space="preserve">         References</w:t>
      </w:r>
    </w:p>
    <w:p w14:paraId="0F7602AE" w14:textId="77777777" w:rsidR="00AD407E" w:rsidRPr="001F51CA" w:rsidRDefault="00AD407E" w:rsidP="00AD407E">
      <w:pPr>
        <w:numPr>
          <w:ilvl w:val="0"/>
          <w:numId w:val="14"/>
        </w:numPr>
        <w:overflowPunct/>
        <w:autoSpaceDE/>
        <w:autoSpaceDN/>
        <w:adjustRightInd/>
        <w:spacing w:after="160" w:line="259" w:lineRule="auto"/>
        <w:textAlignment w:val="auto"/>
      </w:pPr>
      <w:r w:rsidRPr="001F51CA">
        <w:t>RP-182878</w:t>
      </w:r>
      <w:r w:rsidRPr="001F51CA">
        <w:tab/>
        <w:t>New WID on NR-based Access to Unlicensed Spectrum, Qualcomm</w:t>
      </w:r>
    </w:p>
    <w:p w14:paraId="3D517B24" w14:textId="75F2C542" w:rsidR="00AD407E" w:rsidRDefault="004D2643" w:rsidP="00AD407E">
      <w:pPr>
        <w:numPr>
          <w:ilvl w:val="0"/>
          <w:numId w:val="14"/>
        </w:numPr>
        <w:overflowPunct/>
        <w:autoSpaceDE/>
        <w:autoSpaceDN/>
        <w:adjustRightInd/>
        <w:spacing w:after="160" w:line="259" w:lineRule="auto"/>
        <w:textAlignment w:val="auto"/>
      </w:pPr>
      <w:r w:rsidRPr="004D2643">
        <w:t>R4-1910535</w:t>
      </w:r>
      <w:r w:rsidR="00AD407E" w:rsidRPr="001F51CA">
        <w:t xml:space="preserve">, </w:t>
      </w:r>
      <w:r w:rsidRPr="004D2643">
        <w:t>WF on Emission Requirements for NR-U</w:t>
      </w:r>
      <w:r w:rsidR="00AD407E" w:rsidRPr="001F51CA">
        <w:t>, Nokia</w:t>
      </w:r>
    </w:p>
    <w:p w14:paraId="7D8662BE" w14:textId="266FA269" w:rsidR="006F4212" w:rsidRPr="001F51CA" w:rsidRDefault="006F4212" w:rsidP="00AD407E">
      <w:pPr>
        <w:numPr>
          <w:ilvl w:val="0"/>
          <w:numId w:val="14"/>
        </w:numPr>
        <w:overflowPunct/>
        <w:autoSpaceDE/>
        <w:autoSpaceDN/>
        <w:adjustRightInd/>
        <w:spacing w:after="160" w:line="259" w:lineRule="auto"/>
        <w:textAlignment w:val="auto"/>
      </w:pPr>
      <w:r w:rsidRPr="006F4212">
        <w:t>R4-1913059</w:t>
      </w:r>
      <w:r>
        <w:t xml:space="preserve">, </w:t>
      </w:r>
      <w:r w:rsidRPr="006F4212">
        <w:t>WF on punctured channel</w:t>
      </w:r>
      <w:r>
        <w:t>, Charter</w:t>
      </w:r>
    </w:p>
    <w:p w14:paraId="79EDFB2D" w14:textId="7EDAFE21" w:rsidR="00AD407E" w:rsidRDefault="00BE4CB9" w:rsidP="00AD407E">
      <w:pPr>
        <w:numPr>
          <w:ilvl w:val="0"/>
          <w:numId w:val="14"/>
        </w:numPr>
      </w:pPr>
      <w:r w:rsidRPr="00BE4CB9">
        <w:t>R4-1909260</w:t>
      </w:r>
      <w:r w:rsidR="00AD407E" w:rsidRPr="001F51CA">
        <w:t xml:space="preserve">, </w:t>
      </w:r>
      <w:r w:rsidRPr="00BE4CB9">
        <w:t>NR-U - Discussion on spectral emission mask</w:t>
      </w:r>
      <w:r w:rsidR="00AD407E" w:rsidRPr="001F51CA">
        <w:t xml:space="preserve">, </w:t>
      </w:r>
      <w:r w:rsidRPr="00BE4CB9">
        <w:t>Nokia, Nokia Shanghai Bell</w:t>
      </w:r>
    </w:p>
    <w:p w14:paraId="3254465A" w14:textId="61567A3F" w:rsidR="001B548A" w:rsidRPr="001F51CA" w:rsidRDefault="001B548A" w:rsidP="00AD407E">
      <w:pPr>
        <w:numPr>
          <w:ilvl w:val="0"/>
          <w:numId w:val="14"/>
        </w:numPr>
      </w:pPr>
      <w:r w:rsidRPr="001B548A">
        <w:t>R4-1907850</w:t>
      </w:r>
      <w:r>
        <w:t xml:space="preserve">, </w:t>
      </w:r>
      <w:r w:rsidRPr="001B548A">
        <w:t>LS to ETSI TC BRAN on Interpretations of EN 301 893</w:t>
      </w:r>
      <w:r>
        <w:t>, Nokia</w:t>
      </w:r>
    </w:p>
    <w:p w14:paraId="39C9EB27" w14:textId="77777777" w:rsidR="002F4FE7" w:rsidRDefault="002F4FE7" w:rsidP="002F4FE7">
      <w:pPr>
        <w:pStyle w:val="Heading1"/>
        <w:numPr>
          <w:ilvl w:val="0"/>
          <w:numId w:val="19"/>
        </w:numPr>
        <w:ind w:left="851" w:hanging="851"/>
      </w:pPr>
      <w:bookmarkStart w:id="3" w:name="_Hlk20312766"/>
      <w:r>
        <w:lastRenderedPageBreak/>
        <w:t>Appendix</w:t>
      </w:r>
    </w:p>
    <w:p w14:paraId="124F101C" w14:textId="2AD2E03A" w:rsidR="008F0133" w:rsidRDefault="002F4FE7" w:rsidP="008F0133">
      <w:pPr>
        <w:jc w:val="both"/>
        <w:rPr>
          <w:noProof/>
        </w:rPr>
      </w:pPr>
      <w:r>
        <w:t xml:space="preserve">The following shows how the proposed mask will present itself for different LBT outcomes for channel/carrier bandwidths of 40, 60 and 80 </w:t>
      </w:r>
      <w:proofErr w:type="spellStart"/>
      <w:r>
        <w:t>MHz</w:t>
      </w:r>
      <w:r w:rsidR="008F0133">
        <w:rPr>
          <w:noProof/>
        </w:rPr>
        <w:t>.</w:t>
      </w:r>
      <w:proofErr w:type="spellEnd"/>
      <w:r w:rsidR="006F4212" w:rsidRPr="006F4212">
        <w:rPr>
          <w:noProof/>
        </w:rPr>
        <w:t xml:space="preserve"> </w:t>
      </w:r>
      <w:r w:rsidR="006F4212">
        <w:rPr>
          <w:noProof/>
        </w:rPr>
        <w:t>Note that the LO exception have not been illustrated in these figures.</w:t>
      </w:r>
    </w:p>
    <w:p w14:paraId="76F0C7C4" w14:textId="0E2C9AF9" w:rsidR="000A6CB0" w:rsidRDefault="000A6CB0" w:rsidP="008F0133">
      <w:pPr>
        <w:jc w:val="both"/>
        <w:rPr>
          <w:noProof/>
        </w:rPr>
      </w:pPr>
    </w:p>
    <w:p w14:paraId="6042042B" w14:textId="77777777" w:rsidR="000A6CB0" w:rsidRDefault="000A6CB0" w:rsidP="008F0133">
      <w:pPr>
        <w:jc w:val="both"/>
        <w:rPr>
          <w:noProof/>
        </w:rPr>
      </w:pPr>
    </w:p>
    <w:p w14:paraId="7E29CCF2" w14:textId="1CC3AFC1" w:rsidR="008F0133" w:rsidRDefault="00433E39" w:rsidP="008F0133">
      <w:pPr>
        <w:jc w:val="center"/>
        <w:rPr>
          <w:noProof/>
        </w:rPr>
      </w:pPr>
      <w:r>
        <w:rPr>
          <w:noProof/>
        </w:rPr>
        <w:pict w14:anchorId="5E2F0F86">
          <v:shape id="_x0000_i1028" type="#_x0000_t75" style="width:333.75pt;height:174pt;visibility:visible;mso-wrap-style:square">
            <v:imagedata r:id="rId15" o:title=""/>
          </v:shape>
        </w:pict>
      </w:r>
    </w:p>
    <w:p w14:paraId="00AFD048" w14:textId="6573A9FF" w:rsidR="00B27CD5" w:rsidRDefault="00B27CD5" w:rsidP="008F0133">
      <w:pPr>
        <w:jc w:val="center"/>
        <w:rPr>
          <w:noProof/>
        </w:rPr>
      </w:pPr>
    </w:p>
    <w:p w14:paraId="214D897C" w14:textId="36A01877" w:rsidR="00B27CD5" w:rsidRDefault="00B27CD5" w:rsidP="008F0133">
      <w:pPr>
        <w:jc w:val="center"/>
        <w:rPr>
          <w:noProof/>
        </w:rPr>
      </w:pPr>
    </w:p>
    <w:p w14:paraId="36D74C79" w14:textId="77777777" w:rsidR="00B27CD5" w:rsidRDefault="00B27CD5" w:rsidP="008F0133">
      <w:pPr>
        <w:jc w:val="center"/>
        <w:rPr>
          <w:noProof/>
        </w:rPr>
      </w:pPr>
    </w:p>
    <w:p w14:paraId="76B32790" w14:textId="06D99D49" w:rsidR="00B27CD5" w:rsidRDefault="00433E39" w:rsidP="00B27CD5">
      <w:pPr>
        <w:ind w:left="-426"/>
        <w:jc w:val="center"/>
        <w:rPr>
          <w:noProof/>
        </w:rPr>
      </w:pPr>
      <w:r>
        <w:rPr>
          <w:noProof/>
        </w:rPr>
        <w:pict w14:anchorId="6C1A958A">
          <v:shape id="_x0000_i1029" type="#_x0000_t75" style="width:530.25pt;height:156.75pt;visibility:visible;mso-wrap-style:square">
            <v:imagedata r:id="rId16" o:title=""/>
          </v:shape>
        </w:pict>
      </w:r>
    </w:p>
    <w:p w14:paraId="24A86AC2" w14:textId="4F0FC3AF" w:rsidR="008F0133" w:rsidRDefault="00433E39" w:rsidP="008F0133">
      <w:pPr>
        <w:jc w:val="center"/>
        <w:rPr>
          <w:noProof/>
        </w:rPr>
      </w:pPr>
      <w:r>
        <w:rPr>
          <w:noProof/>
        </w:rPr>
        <w:lastRenderedPageBreak/>
        <w:pict w14:anchorId="4B09CD8D">
          <v:shape id="_x0000_i1030" type="#_x0000_t75" style="width:459.75pt;height:545.25pt;visibility:visible;mso-wrap-style:square">
            <v:imagedata r:id="rId17" o:title=""/>
          </v:shape>
        </w:pict>
      </w:r>
    </w:p>
    <w:bookmarkEnd w:id="3"/>
    <w:p w14:paraId="6C145E47" w14:textId="34765F06" w:rsidR="008F0133" w:rsidRDefault="00433E39" w:rsidP="000A6CB0">
      <w:pPr>
        <w:ind w:left="-284"/>
        <w:jc w:val="center"/>
        <w:rPr>
          <w:noProof/>
        </w:rPr>
      </w:pPr>
      <w:r>
        <w:rPr>
          <w:noProof/>
        </w:rPr>
        <w:lastRenderedPageBreak/>
        <w:pict w14:anchorId="464D667B">
          <v:shape id="_x0000_i1031" type="#_x0000_t75" style="width:510.75pt;height:741pt;visibility:visible;mso-wrap-style:square">
            <v:imagedata r:id="rId18" o:title=""/>
          </v:shape>
        </w:pict>
      </w:r>
    </w:p>
    <w:sectPr w:rsidR="008F0133" w:rsidSect="00595C12">
      <w:headerReference w:type="default" r:id="rId19"/>
      <w:footerReference w:type="default" r:id="rId2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36CFC" w14:textId="77777777" w:rsidR="00F478BD" w:rsidRDefault="00F478BD">
      <w:r>
        <w:separator/>
      </w:r>
    </w:p>
    <w:p w14:paraId="2E58A90F" w14:textId="77777777" w:rsidR="00F478BD" w:rsidRDefault="00F478BD"/>
  </w:endnote>
  <w:endnote w:type="continuationSeparator" w:id="0">
    <w:p w14:paraId="1A898721" w14:textId="77777777" w:rsidR="00F478BD" w:rsidRDefault="00F478BD">
      <w:r>
        <w:continuationSeparator/>
      </w:r>
    </w:p>
    <w:p w14:paraId="2911BFC0" w14:textId="77777777" w:rsidR="00F478BD" w:rsidRDefault="00F478BD"/>
  </w:endnote>
  <w:endnote w:type="continuationNotice" w:id="1">
    <w:p w14:paraId="7FE55700" w14:textId="77777777" w:rsidR="00F478BD" w:rsidRDefault="00F47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94C32" w14:textId="77777777" w:rsidR="00F478BD" w:rsidRDefault="00F478BD">
      <w:r>
        <w:separator/>
      </w:r>
    </w:p>
    <w:p w14:paraId="315CD655" w14:textId="77777777" w:rsidR="00F478BD" w:rsidRDefault="00F478BD"/>
  </w:footnote>
  <w:footnote w:type="continuationSeparator" w:id="0">
    <w:p w14:paraId="34C811F5" w14:textId="77777777" w:rsidR="00F478BD" w:rsidRDefault="00F478BD">
      <w:r>
        <w:continuationSeparator/>
      </w:r>
    </w:p>
    <w:p w14:paraId="7A65B752" w14:textId="77777777" w:rsidR="00F478BD" w:rsidRDefault="00F478BD"/>
  </w:footnote>
  <w:footnote w:type="continuationNotice" w:id="1">
    <w:p w14:paraId="6F19170D" w14:textId="77777777" w:rsidR="00F478BD" w:rsidRDefault="00F47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655417B"/>
    <w:multiLevelType w:val="hybridMultilevel"/>
    <w:tmpl w:val="ACDE4524"/>
    <w:lvl w:ilvl="0" w:tplc="98928DB2">
      <w:numFmt w:val="bullet"/>
      <w:lvlText w:val="→"/>
      <w:lvlJc w:val="left"/>
      <w:pPr>
        <w:ind w:left="87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5885"/>
    <w:multiLevelType w:val="hybridMultilevel"/>
    <w:tmpl w:val="F77E1DF2"/>
    <w:lvl w:ilvl="0" w:tplc="320C77CA">
      <w:start w:val="2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5BDB"/>
    <w:multiLevelType w:val="hybridMultilevel"/>
    <w:tmpl w:val="4B4E49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EC0933"/>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04220"/>
    <w:multiLevelType w:val="hybridMultilevel"/>
    <w:tmpl w:val="175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E2D05"/>
    <w:multiLevelType w:val="hybridMultilevel"/>
    <w:tmpl w:val="8D4AD08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A73147"/>
    <w:multiLevelType w:val="hybridMultilevel"/>
    <w:tmpl w:val="689EFA70"/>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987689E"/>
    <w:multiLevelType w:val="hybridMultilevel"/>
    <w:tmpl w:val="9A74E676"/>
    <w:lvl w:ilvl="0" w:tplc="CB5AE304">
      <w:start w:val="1"/>
      <w:numFmt w:val="bullet"/>
      <w:lvlText w:val=""/>
      <w:lvlJc w:val="left"/>
      <w:pPr>
        <w:tabs>
          <w:tab w:val="num" w:pos="720"/>
        </w:tabs>
        <w:ind w:left="720" w:hanging="360"/>
      </w:pPr>
      <w:rPr>
        <w:rFonts w:ascii="Wingdings" w:hAnsi="Wingdings" w:hint="default"/>
      </w:rPr>
    </w:lvl>
    <w:lvl w:ilvl="1" w:tplc="93C435FA">
      <w:start w:val="84"/>
      <w:numFmt w:val="bullet"/>
      <w:lvlText w:val=""/>
      <w:lvlJc w:val="left"/>
      <w:pPr>
        <w:tabs>
          <w:tab w:val="num" w:pos="1440"/>
        </w:tabs>
        <w:ind w:left="1440" w:hanging="360"/>
      </w:pPr>
      <w:rPr>
        <w:rFonts w:ascii="Wingdings" w:hAnsi="Wingdings" w:hint="default"/>
      </w:rPr>
    </w:lvl>
    <w:lvl w:ilvl="2" w:tplc="3538EBAC">
      <w:start w:val="84"/>
      <w:numFmt w:val="bullet"/>
      <w:lvlText w:val=""/>
      <w:lvlJc w:val="left"/>
      <w:pPr>
        <w:tabs>
          <w:tab w:val="num" w:pos="2160"/>
        </w:tabs>
        <w:ind w:left="2160" w:hanging="360"/>
      </w:pPr>
      <w:rPr>
        <w:rFonts w:ascii="Wingdings" w:hAnsi="Wingdings" w:hint="default"/>
      </w:rPr>
    </w:lvl>
    <w:lvl w:ilvl="3" w:tplc="A3A801A4">
      <w:start w:val="84"/>
      <w:numFmt w:val="bullet"/>
      <w:lvlText w:val=""/>
      <w:lvlJc w:val="left"/>
      <w:pPr>
        <w:tabs>
          <w:tab w:val="num" w:pos="2880"/>
        </w:tabs>
        <w:ind w:left="2880" w:hanging="360"/>
      </w:pPr>
      <w:rPr>
        <w:rFonts w:ascii="Wingdings" w:hAnsi="Wingdings" w:hint="default"/>
      </w:rPr>
    </w:lvl>
    <w:lvl w:ilvl="4" w:tplc="68166B0C">
      <w:start w:val="1"/>
      <w:numFmt w:val="bullet"/>
      <w:lvlText w:val=""/>
      <w:lvlJc w:val="left"/>
      <w:pPr>
        <w:tabs>
          <w:tab w:val="num" w:pos="3600"/>
        </w:tabs>
        <w:ind w:left="3600" w:hanging="360"/>
      </w:pPr>
      <w:rPr>
        <w:rFonts w:ascii="Wingdings" w:hAnsi="Wingdings" w:hint="default"/>
      </w:rPr>
    </w:lvl>
    <w:lvl w:ilvl="5" w:tplc="050AA248">
      <w:start w:val="1"/>
      <w:numFmt w:val="bullet"/>
      <w:lvlText w:val=""/>
      <w:lvlJc w:val="left"/>
      <w:pPr>
        <w:tabs>
          <w:tab w:val="num" w:pos="4320"/>
        </w:tabs>
        <w:ind w:left="4320" w:hanging="360"/>
      </w:pPr>
      <w:rPr>
        <w:rFonts w:ascii="Wingdings" w:hAnsi="Wingdings" w:hint="default"/>
      </w:rPr>
    </w:lvl>
    <w:lvl w:ilvl="6" w:tplc="4D2890DE">
      <w:start w:val="1"/>
      <w:numFmt w:val="bullet"/>
      <w:lvlText w:val=""/>
      <w:lvlJc w:val="left"/>
      <w:pPr>
        <w:tabs>
          <w:tab w:val="num" w:pos="5040"/>
        </w:tabs>
        <w:ind w:left="5040" w:hanging="360"/>
      </w:pPr>
      <w:rPr>
        <w:rFonts w:ascii="Wingdings" w:hAnsi="Wingdings" w:hint="default"/>
      </w:rPr>
    </w:lvl>
    <w:lvl w:ilvl="7" w:tplc="3E606580">
      <w:start w:val="1"/>
      <w:numFmt w:val="bullet"/>
      <w:lvlText w:val=""/>
      <w:lvlJc w:val="left"/>
      <w:pPr>
        <w:tabs>
          <w:tab w:val="num" w:pos="5760"/>
        </w:tabs>
        <w:ind w:left="5760" w:hanging="360"/>
      </w:pPr>
      <w:rPr>
        <w:rFonts w:ascii="Wingdings" w:hAnsi="Wingdings" w:hint="default"/>
      </w:rPr>
    </w:lvl>
    <w:lvl w:ilvl="8" w:tplc="35E034C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565A48"/>
    <w:multiLevelType w:val="hybridMultilevel"/>
    <w:tmpl w:val="72EAE896"/>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586D57"/>
    <w:multiLevelType w:val="hybridMultilevel"/>
    <w:tmpl w:val="8EBA2006"/>
    <w:lvl w:ilvl="0" w:tplc="5F584140">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8"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15FBC"/>
    <w:multiLevelType w:val="hybridMultilevel"/>
    <w:tmpl w:val="EF180A7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B14051D"/>
    <w:multiLevelType w:val="hybridMultilevel"/>
    <w:tmpl w:val="A9E06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529D0"/>
    <w:multiLevelType w:val="hybridMultilevel"/>
    <w:tmpl w:val="95DA46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3"/>
  </w:num>
  <w:num w:numId="3">
    <w:abstractNumId w:val="44"/>
  </w:num>
  <w:num w:numId="4">
    <w:abstractNumId w:val="10"/>
  </w:num>
  <w:num w:numId="5">
    <w:abstractNumId w:val="3"/>
  </w:num>
  <w:num w:numId="6">
    <w:abstractNumId w:val="42"/>
  </w:num>
  <w:num w:numId="7">
    <w:abstractNumId w:val="33"/>
  </w:num>
  <w:num w:numId="8">
    <w:abstractNumId w:val="41"/>
  </w:num>
  <w:num w:numId="9">
    <w:abstractNumId w:val="12"/>
  </w:num>
  <w:num w:numId="10">
    <w:abstractNumId w:val="27"/>
  </w:num>
  <w:num w:numId="11">
    <w:abstractNumId w:val="46"/>
  </w:num>
  <w:num w:numId="12">
    <w:abstractNumId w:val="18"/>
  </w:num>
  <w:num w:numId="13">
    <w:abstractNumId w:val="38"/>
  </w:num>
  <w:num w:numId="14">
    <w:abstractNumId w:val="29"/>
  </w:num>
  <w:num w:numId="15">
    <w:abstractNumId w:val="16"/>
  </w:num>
  <w:num w:numId="16">
    <w:abstractNumId w:val="5"/>
  </w:num>
  <w:num w:numId="17">
    <w:abstractNumId w:val="2"/>
  </w:num>
  <w:num w:numId="18">
    <w:abstractNumId w:val="0"/>
  </w:num>
  <w:num w:numId="19">
    <w:abstractNumId w:val="17"/>
  </w:num>
  <w:num w:numId="20">
    <w:abstractNumId w:val="4"/>
  </w:num>
  <w:num w:numId="21">
    <w:abstractNumId w:val="36"/>
  </w:num>
  <w:num w:numId="22">
    <w:abstractNumId w:val="19"/>
  </w:num>
  <w:num w:numId="23">
    <w:abstractNumId w:val="20"/>
  </w:num>
  <w:num w:numId="24">
    <w:abstractNumId w:val="23"/>
  </w:num>
  <w:num w:numId="25">
    <w:abstractNumId w:val="30"/>
  </w:num>
  <w:num w:numId="26">
    <w:abstractNumId w:val="21"/>
  </w:num>
  <w:num w:numId="27">
    <w:abstractNumId w:val="28"/>
  </w:num>
  <w:num w:numId="28">
    <w:abstractNumId w:val="32"/>
  </w:num>
  <w:num w:numId="29">
    <w:abstractNumId w:val="22"/>
  </w:num>
  <w:num w:numId="30">
    <w:abstractNumId w:val="6"/>
  </w:num>
  <w:num w:numId="31">
    <w:abstractNumId w:val="39"/>
  </w:num>
  <w:num w:numId="32">
    <w:abstractNumId w:val="35"/>
  </w:num>
  <w:num w:numId="33">
    <w:abstractNumId w:val="15"/>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1"/>
  </w:num>
  <w:num w:numId="37">
    <w:abstractNumId w:val="24"/>
  </w:num>
  <w:num w:numId="38">
    <w:abstractNumId w:val="26"/>
  </w:num>
  <w:num w:numId="39">
    <w:abstractNumId w:val="1"/>
  </w:num>
  <w:num w:numId="40">
    <w:abstractNumId w:val="34"/>
  </w:num>
  <w:num w:numId="41">
    <w:abstractNumId w:val="1"/>
  </w:num>
  <w:num w:numId="42">
    <w:abstractNumId w:val="9"/>
  </w:num>
  <w:num w:numId="43">
    <w:abstractNumId w:val="31"/>
  </w:num>
  <w:num w:numId="44">
    <w:abstractNumId w:val="7"/>
  </w:num>
  <w:num w:numId="45">
    <w:abstractNumId w:val="37"/>
  </w:num>
  <w:num w:numId="46">
    <w:abstractNumId w:val="8"/>
  </w:num>
  <w:num w:numId="47">
    <w:abstractNumId w:val="40"/>
  </w:num>
  <w:num w:numId="48">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17D0"/>
    <w:rsid w:val="00002D80"/>
    <w:rsid w:val="000038A8"/>
    <w:rsid w:val="00003D12"/>
    <w:rsid w:val="00005AAD"/>
    <w:rsid w:val="0000612E"/>
    <w:rsid w:val="0000683D"/>
    <w:rsid w:val="00006D3E"/>
    <w:rsid w:val="00011083"/>
    <w:rsid w:val="00011279"/>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36490"/>
    <w:rsid w:val="000408C5"/>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18E"/>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CB0"/>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9C7"/>
    <w:rsid w:val="000E1DC7"/>
    <w:rsid w:val="000E33A7"/>
    <w:rsid w:val="000E4053"/>
    <w:rsid w:val="000E507D"/>
    <w:rsid w:val="000E66BC"/>
    <w:rsid w:val="000E6CF1"/>
    <w:rsid w:val="000E7556"/>
    <w:rsid w:val="000E7883"/>
    <w:rsid w:val="000E78CA"/>
    <w:rsid w:val="000F0202"/>
    <w:rsid w:val="000F0282"/>
    <w:rsid w:val="000F0E3A"/>
    <w:rsid w:val="000F11AD"/>
    <w:rsid w:val="000F2A43"/>
    <w:rsid w:val="000F5653"/>
    <w:rsid w:val="000F70F2"/>
    <w:rsid w:val="000F7E0E"/>
    <w:rsid w:val="00100473"/>
    <w:rsid w:val="00100523"/>
    <w:rsid w:val="00102205"/>
    <w:rsid w:val="001048F9"/>
    <w:rsid w:val="00104DF9"/>
    <w:rsid w:val="00105617"/>
    <w:rsid w:val="00106374"/>
    <w:rsid w:val="001065D9"/>
    <w:rsid w:val="00110001"/>
    <w:rsid w:val="0011042F"/>
    <w:rsid w:val="00110AE2"/>
    <w:rsid w:val="00111CC2"/>
    <w:rsid w:val="00112CE7"/>
    <w:rsid w:val="0011668A"/>
    <w:rsid w:val="0011716F"/>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6A50"/>
    <w:rsid w:val="00177447"/>
    <w:rsid w:val="001804A7"/>
    <w:rsid w:val="00181456"/>
    <w:rsid w:val="00182487"/>
    <w:rsid w:val="00183EEE"/>
    <w:rsid w:val="0018696D"/>
    <w:rsid w:val="0019099F"/>
    <w:rsid w:val="00192D27"/>
    <w:rsid w:val="001943B0"/>
    <w:rsid w:val="001956E8"/>
    <w:rsid w:val="001A0E48"/>
    <w:rsid w:val="001A23D2"/>
    <w:rsid w:val="001A269E"/>
    <w:rsid w:val="001A4F26"/>
    <w:rsid w:val="001A6521"/>
    <w:rsid w:val="001A7019"/>
    <w:rsid w:val="001A70CB"/>
    <w:rsid w:val="001B2199"/>
    <w:rsid w:val="001B548A"/>
    <w:rsid w:val="001B661C"/>
    <w:rsid w:val="001C10A4"/>
    <w:rsid w:val="001C23C1"/>
    <w:rsid w:val="001C2A5B"/>
    <w:rsid w:val="001C2F51"/>
    <w:rsid w:val="001C3631"/>
    <w:rsid w:val="001C3CB6"/>
    <w:rsid w:val="001C763E"/>
    <w:rsid w:val="001C767D"/>
    <w:rsid w:val="001D0A3B"/>
    <w:rsid w:val="001D3758"/>
    <w:rsid w:val="001D67DE"/>
    <w:rsid w:val="001D6B56"/>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26B8"/>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BD1"/>
    <w:rsid w:val="00247EB1"/>
    <w:rsid w:val="00250262"/>
    <w:rsid w:val="00250538"/>
    <w:rsid w:val="00254946"/>
    <w:rsid w:val="00255C77"/>
    <w:rsid w:val="0025787C"/>
    <w:rsid w:val="002638FD"/>
    <w:rsid w:val="0026652B"/>
    <w:rsid w:val="00266A0A"/>
    <w:rsid w:val="002676D7"/>
    <w:rsid w:val="00267C91"/>
    <w:rsid w:val="00267E60"/>
    <w:rsid w:val="0027067C"/>
    <w:rsid w:val="00274E46"/>
    <w:rsid w:val="00275DA4"/>
    <w:rsid w:val="0027671F"/>
    <w:rsid w:val="002814EE"/>
    <w:rsid w:val="002817D8"/>
    <w:rsid w:val="002854CF"/>
    <w:rsid w:val="0028727D"/>
    <w:rsid w:val="00290080"/>
    <w:rsid w:val="0029195F"/>
    <w:rsid w:val="00291C07"/>
    <w:rsid w:val="00291C0E"/>
    <w:rsid w:val="002945D4"/>
    <w:rsid w:val="00296FD9"/>
    <w:rsid w:val="002A0C31"/>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F0EAB"/>
    <w:rsid w:val="002F1C19"/>
    <w:rsid w:val="002F4C27"/>
    <w:rsid w:val="002F4FE7"/>
    <w:rsid w:val="002F61B6"/>
    <w:rsid w:val="002F638C"/>
    <w:rsid w:val="002F6864"/>
    <w:rsid w:val="002F7CDE"/>
    <w:rsid w:val="00300D54"/>
    <w:rsid w:val="00301251"/>
    <w:rsid w:val="00301372"/>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46F7E"/>
    <w:rsid w:val="0035047C"/>
    <w:rsid w:val="003512BF"/>
    <w:rsid w:val="00352333"/>
    <w:rsid w:val="00352793"/>
    <w:rsid w:val="003570F2"/>
    <w:rsid w:val="0035775F"/>
    <w:rsid w:val="00357DF4"/>
    <w:rsid w:val="00360266"/>
    <w:rsid w:val="003605A9"/>
    <w:rsid w:val="003605C4"/>
    <w:rsid w:val="003606C5"/>
    <w:rsid w:val="00365001"/>
    <w:rsid w:val="003663F8"/>
    <w:rsid w:val="00366486"/>
    <w:rsid w:val="00367713"/>
    <w:rsid w:val="00373293"/>
    <w:rsid w:val="00374315"/>
    <w:rsid w:val="00375488"/>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534D"/>
    <w:rsid w:val="003A62F2"/>
    <w:rsid w:val="003A679B"/>
    <w:rsid w:val="003A742E"/>
    <w:rsid w:val="003B30F0"/>
    <w:rsid w:val="003B3358"/>
    <w:rsid w:val="003B4AD3"/>
    <w:rsid w:val="003B5890"/>
    <w:rsid w:val="003B5B85"/>
    <w:rsid w:val="003B6C3C"/>
    <w:rsid w:val="003B7306"/>
    <w:rsid w:val="003B7F0A"/>
    <w:rsid w:val="003C2D3C"/>
    <w:rsid w:val="003C573F"/>
    <w:rsid w:val="003C5DEE"/>
    <w:rsid w:val="003D2D8F"/>
    <w:rsid w:val="003D41E8"/>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95C"/>
    <w:rsid w:val="00401A10"/>
    <w:rsid w:val="00401CB9"/>
    <w:rsid w:val="0040288D"/>
    <w:rsid w:val="00403B72"/>
    <w:rsid w:val="0040487A"/>
    <w:rsid w:val="004063E0"/>
    <w:rsid w:val="00406432"/>
    <w:rsid w:val="004066FF"/>
    <w:rsid w:val="004105C9"/>
    <w:rsid w:val="00410B74"/>
    <w:rsid w:val="00410EE7"/>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3E39"/>
    <w:rsid w:val="00434F71"/>
    <w:rsid w:val="00435C00"/>
    <w:rsid w:val="004378DC"/>
    <w:rsid w:val="004422DB"/>
    <w:rsid w:val="00442735"/>
    <w:rsid w:val="004434F2"/>
    <w:rsid w:val="004462CC"/>
    <w:rsid w:val="00446768"/>
    <w:rsid w:val="004519C4"/>
    <w:rsid w:val="0045201E"/>
    <w:rsid w:val="00452B22"/>
    <w:rsid w:val="00453CDE"/>
    <w:rsid w:val="004544B6"/>
    <w:rsid w:val="00457E77"/>
    <w:rsid w:val="00461DA8"/>
    <w:rsid w:val="00463786"/>
    <w:rsid w:val="00464305"/>
    <w:rsid w:val="004646F1"/>
    <w:rsid w:val="004648E9"/>
    <w:rsid w:val="00465616"/>
    <w:rsid w:val="00467C5A"/>
    <w:rsid w:val="00470D57"/>
    <w:rsid w:val="00472072"/>
    <w:rsid w:val="004751F1"/>
    <w:rsid w:val="00475E66"/>
    <w:rsid w:val="004823D7"/>
    <w:rsid w:val="00482850"/>
    <w:rsid w:val="00486056"/>
    <w:rsid w:val="00487109"/>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2643"/>
    <w:rsid w:val="004D47FA"/>
    <w:rsid w:val="004E0607"/>
    <w:rsid w:val="004E2429"/>
    <w:rsid w:val="004E3849"/>
    <w:rsid w:val="004E5DAD"/>
    <w:rsid w:val="004E6EE2"/>
    <w:rsid w:val="004E7F06"/>
    <w:rsid w:val="004F1495"/>
    <w:rsid w:val="004F454D"/>
    <w:rsid w:val="004F4F9D"/>
    <w:rsid w:val="004F7ADA"/>
    <w:rsid w:val="0050011B"/>
    <w:rsid w:val="005045F0"/>
    <w:rsid w:val="005070D4"/>
    <w:rsid w:val="00511180"/>
    <w:rsid w:val="0051347A"/>
    <w:rsid w:val="005150DC"/>
    <w:rsid w:val="0051764C"/>
    <w:rsid w:val="005209E5"/>
    <w:rsid w:val="00523E57"/>
    <w:rsid w:val="005246EF"/>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6ED3"/>
    <w:rsid w:val="00567D8C"/>
    <w:rsid w:val="00567DF9"/>
    <w:rsid w:val="00570C54"/>
    <w:rsid w:val="005767C7"/>
    <w:rsid w:val="00577705"/>
    <w:rsid w:val="00577CF7"/>
    <w:rsid w:val="005804B5"/>
    <w:rsid w:val="0058114C"/>
    <w:rsid w:val="00583DF4"/>
    <w:rsid w:val="0058582A"/>
    <w:rsid w:val="00590750"/>
    <w:rsid w:val="00591F76"/>
    <w:rsid w:val="0059384F"/>
    <w:rsid w:val="00595476"/>
    <w:rsid w:val="00595C12"/>
    <w:rsid w:val="00595DBE"/>
    <w:rsid w:val="0059615C"/>
    <w:rsid w:val="00596474"/>
    <w:rsid w:val="00597DD9"/>
    <w:rsid w:val="005A7F8C"/>
    <w:rsid w:val="005B06BD"/>
    <w:rsid w:val="005B0E73"/>
    <w:rsid w:val="005B195C"/>
    <w:rsid w:val="005B1F39"/>
    <w:rsid w:val="005B399D"/>
    <w:rsid w:val="005B4B5A"/>
    <w:rsid w:val="005B54EC"/>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4169"/>
    <w:rsid w:val="00695564"/>
    <w:rsid w:val="006976E7"/>
    <w:rsid w:val="00697A7D"/>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472"/>
    <w:rsid w:val="006E3770"/>
    <w:rsid w:val="006E67DA"/>
    <w:rsid w:val="006F3C3D"/>
    <w:rsid w:val="006F4212"/>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7A4A"/>
    <w:rsid w:val="00717D9B"/>
    <w:rsid w:val="00724D55"/>
    <w:rsid w:val="00724F72"/>
    <w:rsid w:val="0072794D"/>
    <w:rsid w:val="007300B6"/>
    <w:rsid w:val="00731057"/>
    <w:rsid w:val="00731659"/>
    <w:rsid w:val="00731BE5"/>
    <w:rsid w:val="00731E32"/>
    <w:rsid w:val="00731F18"/>
    <w:rsid w:val="007328F2"/>
    <w:rsid w:val="00732DF7"/>
    <w:rsid w:val="00733C68"/>
    <w:rsid w:val="00733F3C"/>
    <w:rsid w:val="007344A3"/>
    <w:rsid w:val="007354D5"/>
    <w:rsid w:val="00736870"/>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33F6"/>
    <w:rsid w:val="00776AD4"/>
    <w:rsid w:val="00776F53"/>
    <w:rsid w:val="007770F7"/>
    <w:rsid w:val="007776D1"/>
    <w:rsid w:val="0078119E"/>
    <w:rsid w:val="00782601"/>
    <w:rsid w:val="00782C76"/>
    <w:rsid w:val="007833DC"/>
    <w:rsid w:val="00785115"/>
    <w:rsid w:val="007854E3"/>
    <w:rsid w:val="0078618D"/>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2AF2"/>
    <w:rsid w:val="007B2B03"/>
    <w:rsid w:val="007B2B37"/>
    <w:rsid w:val="007B4B68"/>
    <w:rsid w:val="007B6008"/>
    <w:rsid w:val="007B6D2D"/>
    <w:rsid w:val="007C1BF9"/>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1791"/>
    <w:rsid w:val="00813241"/>
    <w:rsid w:val="00813EA8"/>
    <w:rsid w:val="0081411B"/>
    <w:rsid w:val="00815EEE"/>
    <w:rsid w:val="00817E7D"/>
    <w:rsid w:val="00817FB4"/>
    <w:rsid w:val="008203A3"/>
    <w:rsid w:val="00820435"/>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63FFE"/>
    <w:rsid w:val="008641B8"/>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1EA"/>
    <w:rsid w:val="008D3863"/>
    <w:rsid w:val="008D3B4B"/>
    <w:rsid w:val="008D3DA8"/>
    <w:rsid w:val="008D40AE"/>
    <w:rsid w:val="008D7A7F"/>
    <w:rsid w:val="008E27E4"/>
    <w:rsid w:val="008E2AA8"/>
    <w:rsid w:val="008E2D50"/>
    <w:rsid w:val="008E3460"/>
    <w:rsid w:val="008E470A"/>
    <w:rsid w:val="008E4A59"/>
    <w:rsid w:val="008E60EA"/>
    <w:rsid w:val="008E60F8"/>
    <w:rsid w:val="008E671B"/>
    <w:rsid w:val="008E6A7F"/>
    <w:rsid w:val="008E6CE4"/>
    <w:rsid w:val="008E7B9D"/>
    <w:rsid w:val="008E7D7E"/>
    <w:rsid w:val="008F0133"/>
    <w:rsid w:val="008F11A4"/>
    <w:rsid w:val="008F136F"/>
    <w:rsid w:val="008F1641"/>
    <w:rsid w:val="008F1D11"/>
    <w:rsid w:val="008F26AE"/>
    <w:rsid w:val="008F2ADC"/>
    <w:rsid w:val="008F48F2"/>
    <w:rsid w:val="008F5363"/>
    <w:rsid w:val="008F6C38"/>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2B05"/>
    <w:rsid w:val="009D3A8D"/>
    <w:rsid w:val="009D5116"/>
    <w:rsid w:val="009D59F9"/>
    <w:rsid w:val="009D6E61"/>
    <w:rsid w:val="009E1134"/>
    <w:rsid w:val="009E19E9"/>
    <w:rsid w:val="009E26E6"/>
    <w:rsid w:val="009E4058"/>
    <w:rsid w:val="009E4605"/>
    <w:rsid w:val="009E470E"/>
    <w:rsid w:val="009E63B1"/>
    <w:rsid w:val="009F2C45"/>
    <w:rsid w:val="009F31C8"/>
    <w:rsid w:val="00A00F02"/>
    <w:rsid w:val="00A00FA6"/>
    <w:rsid w:val="00A014F1"/>
    <w:rsid w:val="00A02375"/>
    <w:rsid w:val="00A0242A"/>
    <w:rsid w:val="00A04783"/>
    <w:rsid w:val="00A052BB"/>
    <w:rsid w:val="00A063FC"/>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2FB6"/>
    <w:rsid w:val="00A431F0"/>
    <w:rsid w:val="00A43CA3"/>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704C"/>
    <w:rsid w:val="00A779B2"/>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6209"/>
    <w:rsid w:val="00AB6982"/>
    <w:rsid w:val="00AB7616"/>
    <w:rsid w:val="00AB7694"/>
    <w:rsid w:val="00AC0C67"/>
    <w:rsid w:val="00AC0F47"/>
    <w:rsid w:val="00AC1EF9"/>
    <w:rsid w:val="00AC2D6C"/>
    <w:rsid w:val="00AC3EBA"/>
    <w:rsid w:val="00AC3FF8"/>
    <w:rsid w:val="00AC5A7B"/>
    <w:rsid w:val="00AC7108"/>
    <w:rsid w:val="00AC7B85"/>
    <w:rsid w:val="00AC7BE8"/>
    <w:rsid w:val="00AD407E"/>
    <w:rsid w:val="00AD4AF0"/>
    <w:rsid w:val="00AD7C7E"/>
    <w:rsid w:val="00AE0180"/>
    <w:rsid w:val="00AE090C"/>
    <w:rsid w:val="00AE1052"/>
    <w:rsid w:val="00AE19BA"/>
    <w:rsid w:val="00AE1EED"/>
    <w:rsid w:val="00AE2F57"/>
    <w:rsid w:val="00AE2FD9"/>
    <w:rsid w:val="00AE2FF9"/>
    <w:rsid w:val="00AE3C5F"/>
    <w:rsid w:val="00AE5F5F"/>
    <w:rsid w:val="00AE600E"/>
    <w:rsid w:val="00AE6124"/>
    <w:rsid w:val="00AF1199"/>
    <w:rsid w:val="00AF1E0E"/>
    <w:rsid w:val="00AF3E0C"/>
    <w:rsid w:val="00AF3E57"/>
    <w:rsid w:val="00AF4F53"/>
    <w:rsid w:val="00AF53FB"/>
    <w:rsid w:val="00AF5876"/>
    <w:rsid w:val="00AF6BC9"/>
    <w:rsid w:val="00AF787B"/>
    <w:rsid w:val="00AF7D35"/>
    <w:rsid w:val="00B01868"/>
    <w:rsid w:val="00B0411F"/>
    <w:rsid w:val="00B0441E"/>
    <w:rsid w:val="00B04EC5"/>
    <w:rsid w:val="00B05AC3"/>
    <w:rsid w:val="00B07BE0"/>
    <w:rsid w:val="00B11134"/>
    <w:rsid w:val="00B11B6E"/>
    <w:rsid w:val="00B122C2"/>
    <w:rsid w:val="00B13102"/>
    <w:rsid w:val="00B14E85"/>
    <w:rsid w:val="00B1546E"/>
    <w:rsid w:val="00B17615"/>
    <w:rsid w:val="00B20472"/>
    <w:rsid w:val="00B22C39"/>
    <w:rsid w:val="00B232FC"/>
    <w:rsid w:val="00B23BBE"/>
    <w:rsid w:val="00B24BD8"/>
    <w:rsid w:val="00B251CE"/>
    <w:rsid w:val="00B25B7A"/>
    <w:rsid w:val="00B27968"/>
    <w:rsid w:val="00B27CD5"/>
    <w:rsid w:val="00B30B09"/>
    <w:rsid w:val="00B332A3"/>
    <w:rsid w:val="00B33842"/>
    <w:rsid w:val="00B340B4"/>
    <w:rsid w:val="00B34C25"/>
    <w:rsid w:val="00B35477"/>
    <w:rsid w:val="00B40CEB"/>
    <w:rsid w:val="00B41B40"/>
    <w:rsid w:val="00B42005"/>
    <w:rsid w:val="00B4221D"/>
    <w:rsid w:val="00B42573"/>
    <w:rsid w:val="00B42C63"/>
    <w:rsid w:val="00B44ACE"/>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845"/>
    <w:rsid w:val="00B93A11"/>
    <w:rsid w:val="00B946C4"/>
    <w:rsid w:val="00B979D9"/>
    <w:rsid w:val="00BA10AF"/>
    <w:rsid w:val="00BA1994"/>
    <w:rsid w:val="00BA2CFF"/>
    <w:rsid w:val="00BA5272"/>
    <w:rsid w:val="00BA663C"/>
    <w:rsid w:val="00BB18FC"/>
    <w:rsid w:val="00BB2B2C"/>
    <w:rsid w:val="00BB2F5C"/>
    <w:rsid w:val="00BB327B"/>
    <w:rsid w:val="00BB3286"/>
    <w:rsid w:val="00BB45AF"/>
    <w:rsid w:val="00BB485C"/>
    <w:rsid w:val="00BB5421"/>
    <w:rsid w:val="00BB5695"/>
    <w:rsid w:val="00BB67C8"/>
    <w:rsid w:val="00BB6C22"/>
    <w:rsid w:val="00BB725C"/>
    <w:rsid w:val="00BB73AD"/>
    <w:rsid w:val="00BC0314"/>
    <w:rsid w:val="00BC031A"/>
    <w:rsid w:val="00BC3956"/>
    <w:rsid w:val="00BC3B2E"/>
    <w:rsid w:val="00BC3FFB"/>
    <w:rsid w:val="00BC4017"/>
    <w:rsid w:val="00BC4533"/>
    <w:rsid w:val="00BC5292"/>
    <w:rsid w:val="00BC62A8"/>
    <w:rsid w:val="00BD36E3"/>
    <w:rsid w:val="00BD3CBA"/>
    <w:rsid w:val="00BD4392"/>
    <w:rsid w:val="00BD5F57"/>
    <w:rsid w:val="00BD7022"/>
    <w:rsid w:val="00BD73E3"/>
    <w:rsid w:val="00BE1FDA"/>
    <w:rsid w:val="00BE3B7B"/>
    <w:rsid w:val="00BE3E35"/>
    <w:rsid w:val="00BE445B"/>
    <w:rsid w:val="00BE4967"/>
    <w:rsid w:val="00BE4A8B"/>
    <w:rsid w:val="00BE4CB9"/>
    <w:rsid w:val="00BE54A7"/>
    <w:rsid w:val="00BE693F"/>
    <w:rsid w:val="00BE6D7C"/>
    <w:rsid w:val="00BF1595"/>
    <w:rsid w:val="00BF282D"/>
    <w:rsid w:val="00BF3967"/>
    <w:rsid w:val="00BF500A"/>
    <w:rsid w:val="00BF59EB"/>
    <w:rsid w:val="00BF60DC"/>
    <w:rsid w:val="00C02176"/>
    <w:rsid w:val="00C02F4E"/>
    <w:rsid w:val="00C03D74"/>
    <w:rsid w:val="00C03F80"/>
    <w:rsid w:val="00C04792"/>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66"/>
    <w:rsid w:val="00C352BB"/>
    <w:rsid w:val="00C36813"/>
    <w:rsid w:val="00C40340"/>
    <w:rsid w:val="00C40968"/>
    <w:rsid w:val="00C40E6F"/>
    <w:rsid w:val="00C4352F"/>
    <w:rsid w:val="00C4361E"/>
    <w:rsid w:val="00C45505"/>
    <w:rsid w:val="00C461B6"/>
    <w:rsid w:val="00C4740D"/>
    <w:rsid w:val="00C47DF2"/>
    <w:rsid w:val="00C5095F"/>
    <w:rsid w:val="00C524A5"/>
    <w:rsid w:val="00C55D79"/>
    <w:rsid w:val="00C5665E"/>
    <w:rsid w:val="00C61BD0"/>
    <w:rsid w:val="00C61F86"/>
    <w:rsid w:val="00C62802"/>
    <w:rsid w:val="00C64EBC"/>
    <w:rsid w:val="00C70735"/>
    <w:rsid w:val="00C70785"/>
    <w:rsid w:val="00C71294"/>
    <w:rsid w:val="00C7145D"/>
    <w:rsid w:val="00C725BD"/>
    <w:rsid w:val="00C73431"/>
    <w:rsid w:val="00C73694"/>
    <w:rsid w:val="00C763E6"/>
    <w:rsid w:val="00C77740"/>
    <w:rsid w:val="00C80B84"/>
    <w:rsid w:val="00C81BD7"/>
    <w:rsid w:val="00C84365"/>
    <w:rsid w:val="00C86A01"/>
    <w:rsid w:val="00C86FD0"/>
    <w:rsid w:val="00C91FCB"/>
    <w:rsid w:val="00C927CC"/>
    <w:rsid w:val="00C92A7E"/>
    <w:rsid w:val="00C92D10"/>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54"/>
    <w:rsid w:val="00CC59D4"/>
    <w:rsid w:val="00CC6138"/>
    <w:rsid w:val="00CC6643"/>
    <w:rsid w:val="00CC6C23"/>
    <w:rsid w:val="00CD128F"/>
    <w:rsid w:val="00CD2CFD"/>
    <w:rsid w:val="00CE0D19"/>
    <w:rsid w:val="00CE271C"/>
    <w:rsid w:val="00CE60BF"/>
    <w:rsid w:val="00CE6EAE"/>
    <w:rsid w:val="00CE7088"/>
    <w:rsid w:val="00CF05D5"/>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482"/>
    <w:rsid w:val="00D14C7B"/>
    <w:rsid w:val="00D22696"/>
    <w:rsid w:val="00D245AE"/>
    <w:rsid w:val="00D25B0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1AD"/>
    <w:rsid w:val="00D71794"/>
    <w:rsid w:val="00D71826"/>
    <w:rsid w:val="00D72AC1"/>
    <w:rsid w:val="00D73687"/>
    <w:rsid w:val="00D7493C"/>
    <w:rsid w:val="00D75C1B"/>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ED0"/>
    <w:rsid w:val="00DA68F0"/>
    <w:rsid w:val="00DB1548"/>
    <w:rsid w:val="00DB6569"/>
    <w:rsid w:val="00DB7DC7"/>
    <w:rsid w:val="00DC2DAB"/>
    <w:rsid w:val="00DC2E14"/>
    <w:rsid w:val="00DC4095"/>
    <w:rsid w:val="00DC4176"/>
    <w:rsid w:val="00DC52DA"/>
    <w:rsid w:val="00DC55C2"/>
    <w:rsid w:val="00DC5BAB"/>
    <w:rsid w:val="00DC63E2"/>
    <w:rsid w:val="00DC6DC6"/>
    <w:rsid w:val="00DC7811"/>
    <w:rsid w:val="00DD0DE3"/>
    <w:rsid w:val="00DD3E26"/>
    <w:rsid w:val="00DD4223"/>
    <w:rsid w:val="00DD53B0"/>
    <w:rsid w:val="00DE1689"/>
    <w:rsid w:val="00DE2140"/>
    <w:rsid w:val="00DE48AB"/>
    <w:rsid w:val="00DE4C0D"/>
    <w:rsid w:val="00DE4FDB"/>
    <w:rsid w:val="00DE560B"/>
    <w:rsid w:val="00DE560E"/>
    <w:rsid w:val="00DE63AE"/>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2165F"/>
    <w:rsid w:val="00E21946"/>
    <w:rsid w:val="00E2209B"/>
    <w:rsid w:val="00E25268"/>
    <w:rsid w:val="00E25B8A"/>
    <w:rsid w:val="00E27012"/>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6E51"/>
    <w:rsid w:val="00E67BAC"/>
    <w:rsid w:val="00E7010D"/>
    <w:rsid w:val="00E7113C"/>
    <w:rsid w:val="00E726D8"/>
    <w:rsid w:val="00E731B2"/>
    <w:rsid w:val="00E745E8"/>
    <w:rsid w:val="00E775E1"/>
    <w:rsid w:val="00E805FB"/>
    <w:rsid w:val="00E83A9B"/>
    <w:rsid w:val="00E849E0"/>
    <w:rsid w:val="00E852DF"/>
    <w:rsid w:val="00E85478"/>
    <w:rsid w:val="00E85A7B"/>
    <w:rsid w:val="00E90F96"/>
    <w:rsid w:val="00E91938"/>
    <w:rsid w:val="00E940DE"/>
    <w:rsid w:val="00E9461D"/>
    <w:rsid w:val="00E9582F"/>
    <w:rsid w:val="00E96FD6"/>
    <w:rsid w:val="00EA2FBB"/>
    <w:rsid w:val="00EA316B"/>
    <w:rsid w:val="00EA4C8E"/>
    <w:rsid w:val="00EA53FD"/>
    <w:rsid w:val="00EA6245"/>
    <w:rsid w:val="00EB0AB1"/>
    <w:rsid w:val="00EB0BEB"/>
    <w:rsid w:val="00EB3E17"/>
    <w:rsid w:val="00EB7362"/>
    <w:rsid w:val="00EC0BFB"/>
    <w:rsid w:val="00EC2DC3"/>
    <w:rsid w:val="00EC3109"/>
    <w:rsid w:val="00EC3366"/>
    <w:rsid w:val="00EC5916"/>
    <w:rsid w:val="00EC6778"/>
    <w:rsid w:val="00EC6A13"/>
    <w:rsid w:val="00ED1B72"/>
    <w:rsid w:val="00ED1E94"/>
    <w:rsid w:val="00ED37E5"/>
    <w:rsid w:val="00ED422F"/>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ED"/>
    <w:rsid w:val="00F21600"/>
    <w:rsid w:val="00F22360"/>
    <w:rsid w:val="00F228EC"/>
    <w:rsid w:val="00F25920"/>
    <w:rsid w:val="00F25F42"/>
    <w:rsid w:val="00F27FF4"/>
    <w:rsid w:val="00F320AC"/>
    <w:rsid w:val="00F3495F"/>
    <w:rsid w:val="00F3518D"/>
    <w:rsid w:val="00F351CB"/>
    <w:rsid w:val="00F3565E"/>
    <w:rsid w:val="00F362BB"/>
    <w:rsid w:val="00F36B0A"/>
    <w:rsid w:val="00F41539"/>
    <w:rsid w:val="00F41840"/>
    <w:rsid w:val="00F41CEE"/>
    <w:rsid w:val="00F41DF5"/>
    <w:rsid w:val="00F4304E"/>
    <w:rsid w:val="00F478BD"/>
    <w:rsid w:val="00F500E0"/>
    <w:rsid w:val="00F50CA4"/>
    <w:rsid w:val="00F50F9A"/>
    <w:rsid w:val="00F535CA"/>
    <w:rsid w:val="00F540A4"/>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7F2"/>
    <w:rsid w:val="00F878D6"/>
    <w:rsid w:val="00F87B09"/>
    <w:rsid w:val="00F907AC"/>
    <w:rsid w:val="00F9087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43C"/>
    <w:rsid w:val="00FD0615"/>
    <w:rsid w:val="00FD1F84"/>
    <w:rsid w:val="00FD2639"/>
    <w:rsid w:val="00FD47B7"/>
    <w:rsid w:val="00FD49A5"/>
    <w:rsid w:val="00FD669E"/>
    <w:rsid w:val="00FD6A99"/>
    <w:rsid w:val="00FE2BC4"/>
    <w:rsid w:val="00FE541D"/>
    <w:rsid w:val="00FE6414"/>
    <w:rsid w:val="00FE7719"/>
    <w:rsid w:val="00FE7E29"/>
    <w:rsid w:val="00FF1F53"/>
    <w:rsid w:val="00FF21A7"/>
    <w:rsid w:val="00FF2A67"/>
    <w:rsid w:val="00FF3A57"/>
    <w:rsid w:val="00FF5167"/>
    <w:rsid w:val="00FF568F"/>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A9735C3"/>
  <w15:chartTrackingRefBased/>
  <w15:docId w15:val="{B65D07B6-587D-46EB-AC51-3B862191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5AIRPNAIUNRU-1328258698-689</_dlc_DocId>
    <_dlc_DocIdUrl xmlns="71c5aaf6-e6ce-465b-b873-5148d2a4c105">
      <Url>https://nokia.sharepoint.com/sites/c5g/5gradio/_layouts/15/DocIdRedir.aspx?ID=5AIRPNAIUNRU-1328258698-689</Url>
      <Description>5AIRPNAIUNRU-1328258698-689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71c5aaf6-e6ce-465b-b873-5148d2a4c105"/>
    <ds:schemaRef ds:uri="http://schemas.microsoft.com/office/infopath/2007/PartnerControls"/>
    <ds:schemaRef ds:uri="dca1a702-c131-4c0a-94d3-ca02808a59d1"/>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89a48c40-3d93-469d-b9d4-51d7ced6a16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23894D74-368A-4BF7-8011-590FF9EAA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41B5D-65A5-4A34-A9CC-47924BEF528E}">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04B4B273-5AD3-43F1-901B-F40AEFE0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RAN4#93 JOH, Nokia</cp:lastModifiedBy>
  <cp:revision>4</cp:revision>
  <cp:lastPrinted>2013-03-22T23:57:00Z</cp:lastPrinted>
  <dcterms:created xsi:type="dcterms:W3CDTF">2019-11-08T10:19:00Z</dcterms:created>
  <dcterms:modified xsi:type="dcterms:W3CDTF">2019-11-08T12:32:00Z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8154a3d7-0207-4921-b0e1-233d4d2cae36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